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F6D1A" w14:textId="7EE547B6" w:rsidR="00B40C58" w:rsidRPr="00FE44A8" w:rsidRDefault="00B40C58" w:rsidP="00E45231">
      <w:pPr>
        <w:pStyle w:val="NoSpacing"/>
        <w:rPr>
          <w:rFonts w:ascii="Open Sans" w:hAnsi="Open Sans"/>
          <w:color w:val="0F243E" w:themeColor="text2" w:themeShade="80"/>
          <w:sz w:val="2"/>
          <w:lang w:val="en-GB"/>
        </w:rPr>
        <w:sectPr w:rsidR="00B40C58" w:rsidRPr="00FE44A8" w:rsidSect="00FE44A8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440" w:right="1080" w:bottom="1440" w:left="1080" w:header="708" w:footer="590" w:gutter="0"/>
          <w:pgNumType w:start="1"/>
          <w:cols w:space="708"/>
          <w:titlePg/>
          <w:docGrid w:linePitch="360"/>
        </w:sectPr>
      </w:pPr>
    </w:p>
    <w:p w14:paraId="720B4419" w14:textId="434DCD57" w:rsidR="008D65E4" w:rsidRPr="00487989" w:rsidRDefault="00EA40B8" w:rsidP="00F67874">
      <w:pPr>
        <w:spacing w:line="276" w:lineRule="auto"/>
        <w:jc w:val="center"/>
        <w:rPr>
          <w:rFonts w:ascii="Open Sans" w:hAnsi="Open Sans" w:cs="Open Sans"/>
          <w:b/>
          <w:color w:val="0F243E" w:themeColor="text2" w:themeShade="80"/>
          <w:sz w:val="36"/>
          <w:szCs w:val="20"/>
        </w:rPr>
      </w:pPr>
      <w:r w:rsidRPr="00487989">
        <w:rPr>
          <w:rFonts w:ascii="Open Sans" w:hAnsi="Open Sans" w:cs="Open Sans"/>
          <w:b/>
          <w:color w:val="0F243E" w:themeColor="text2" w:themeShade="80"/>
          <w:sz w:val="36"/>
          <w:szCs w:val="20"/>
        </w:rPr>
        <w:t>Terms of Reference</w:t>
      </w:r>
    </w:p>
    <w:p w14:paraId="2D7F9F37" w14:textId="4E2934E4" w:rsidR="008D65E4" w:rsidRPr="00487989" w:rsidRDefault="008D65E4" w:rsidP="00F67874">
      <w:pPr>
        <w:spacing w:line="276" w:lineRule="auto"/>
        <w:jc w:val="center"/>
        <w:rPr>
          <w:rFonts w:ascii="Open Sans" w:hAnsi="Open Sans" w:cs="Open Sans"/>
          <w:b/>
          <w:color w:val="0F243E" w:themeColor="text2" w:themeShade="80"/>
          <w:sz w:val="22"/>
          <w:szCs w:val="20"/>
        </w:rPr>
      </w:pPr>
      <w:r w:rsidRPr="00487989">
        <w:rPr>
          <w:rFonts w:ascii="Open Sans" w:hAnsi="Open Sans" w:cs="Open Sans"/>
          <w:b/>
          <w:color w:val="0F243E" w:themeColor="text2" w:themeShade="80"/>
          <w:sz w:val="22"/>
          <w:szCs w:val="20"/>
        </w:rPr>
        <w:t xml:space="preserve">VOLLEYBALL WA </w:t>
      </w:r>
      <w:r w:rsidR="00EA40B8" w:rsidRPr="00487989">
        <w:rPr>
          <w:rFonts w:ascii="Open Sans" w:hAnsi="Open Sans" w:cs="Open Sans"/>
          <w:b/>
          <w:color w:val="0F243E" w:themeColor="text2" w:themeShade="80"/>
          <w:sz w:val="22"/>
          <w:szCs w:val="20"/>
        </w:rPr>
        <w:t xml:space="preserve">LEAD VOLLEY PANEL </w:t>
      </w:r>
      <w:r w:rsidRPr="00487989">
        <w:rPr>
          <w:rFonts w:ascii="Open Sans" w:hAnsi="Open Sans" w:cs="Open Sans"/>
          <w:b/>
          <w:color w:val="0F243E" w:themeColor="text2" w:themeShade="80"/>
          <w:sz w:val="22"/>
          <w:szCs w:val="20"/>
        </w:rPr>
        <w:t>(VWA</w:t>
      </w:r>
      <w:r w:rsidR="00EA40B8" w:rsidRPr="00487989">
        <w:rPr>
          <w:rFonts w:ascii="Open Sans" w:hAnsi="Open Sans" w:cs="Open Sans"/>
          <w:b/>
          <w:color w:val="0F243E" w:themeColor="text2" w:themeShade="80"/>
          <w:sz w:val="22"/>
          <w:szCs w:val="20"/>
        </w:rPr>
        <w:t>LVP</w:t>
      </w:r>
      <w:r w:rsidRPr="00487989">
        <w:rPr>
          <w:rFonts w:ascii="Open Sans" w:hAnsi="Open Sans" w:cs="Open Sans"/>
          <w:b/>
          <w:color w:val="0F243E" w:themeColor="text2" w:themeShade="80"/>
          <w:sz w:val="22"/>
          <w:szCs w:val="20"/>
        </w:rPr>
        <w:t>)</w:t>
      </w:r>
    </w:p>
    <w:p w14:paraId="140BC23F" w14:textId="77777777" w:rsidR="008D65E4" w:rsidRPr="00487989" w:rsidRDefault="008D65E4" w:rsidP="008D65E4">
      <w:pPr>
        <w:pStyle w:val="NoSpacing"/>
        <w:spacing w:line="276" w:lineRule="auto"/>
        <w:jc w:val="both"/>
        <w:rPr>
          <w:rFonts w:ascii="Open Sans" w:hAnsi="Open Sans" w:cs="Open Sans"/>
          <w:color w:val="0F243E" w:themeColor="text2" w:themeShade="80"/>
          <w:sz w:val="20"/>
          <w:szCs w:val="20"/>
        </w:rPr>
      </w:pPr>
    </w:p>
    <w:p w14:paraId="2227A662" w14:textId="0CD09605" w:rsidR="008D65E4" w:rsidRPr="00487989" w:rsidRDefault="008D65E4" w:rsidP="00EA40B8">
      <w:pPr>
        <w:pStyle w:val="NoSpacing"/>
        <w:spacing w:line="276" w:lineRule="auto"/>
        <w:jc w:val="both"/>
        <w:rPr>
          <w:rFonts w:ascii="Open Sans" w:hAnsi="Open Sans" w:cs="Open Sans"/>
          <w:b/>
          <w:i/>
          <w:color w:val="0F243E" w:themeColor="text2" w:themeShade="80"/>
          <w:sz w:val="20"/>
          <w:szCs w:val="20"/>
        </w:rPr>
      </w:pPr>
      <w:r w:rsidRPr="00487989">
        <w:rPr>
          <w:rFonts w:ascii="Open Sans" w:hAnsi="Open Sans" w:cs="Open Sans"/>
          <w:b/>
          <w:i/>
          <w:color w:val="0F243E" w:themeColor="text2" w:themeShade="80"/>
          <w:sz w:val="20"/>
          <w:szCs w:val="20"/>
        </w:rPr>
        <w:t>Aim of the VWA</w:t>
      </w:r>
      <w:r w:rsidR="00EA40B8" w:rsidRPr="00487989">
        <w:rPr>
          <w:rFonts w:ascii="Open Sans" w:hAnsi="Open Sans" w:cs="Open Sans"/>
          <w:b/>
          <w:i/>
          <w:color w:val="0F243E" w:themeColor="text2" w:themeShade="80"/>
          <w:sz w:val="20"/>
          <w:szCs w:val="20"/>
        </w:rPr>
        <w:t>LVP</w:t>
      </w:r>
    </w:p>
    <w:p w14:paraId="76ABCF31" w14:textId="3887BECC" w:rsidR="008D65E4" w:rsidRPr="00487989" w:rsidRDefault="008D65E4" w:rsidP="00EA40B8">
      <w:pPr>
        <w:pStyle w:val="NoSpacing"/>
        <w:spacing w:line="276" w:lineRule="auto"/>
        <w:jc w:val="both"/>
        <w:rPr>
          <w:rFonts w:ascii="Open Sans" w:hAnsi="Open Sans" w:cs="Open Sans"/>
          <w:color w:val="0F243E" w:themeColor="text2" w:themeShade="80"/>
          <w:sz w:val="20"/>
          <w:szCs w:val="20"/>
        </w:rPr>
      </w:pPr>
      <w:r w:rsidRPr="00487989">
        <w:rPr>
          <w:rFonts w:ascii="Open Sans" w:hAnsi="Open Sans" w:cs="Open Sans"/>
          <w:color w:val="0F243E" w:themeColor="text2" w:themeShade="80"/>
          <w:sz w:val="20"/>
          <w:szCs w:val="20"/>
        </w:rPr>
        <w:t>The aim of the VWA</w:t>
      </w:r>
      <w:r w:rsidR="00EA40B8" w:rsidRPr="00487989">
        <w:rPr>
          <w:rFonts w:ascii="Open Sans" w:hAnsi="Open Sans" w:cs="Open Sans"/>
          <w:color w:val="0F243E" w:themeColor="text2" w:themeShade="80"/>
          <w:sz w:val="20"/>
          <w:szCs w:val="20"/>
        </w:rPr>
        <w:t>LVP</w:t>
      </w:r>
      <w:r w:rsidRPr="00487989">
        <w:rPr>
          <w:rFonts w:ascii="Open Sans" w:hAnsi="Open Sans" w:cs="Open Sans"/>
          <w:color w:val="0F243E" w:themeColor="text2" w:themeShade="80"/>
          <w:sz w:val="20"/>
          <w:szCs w:val="20"/>
        </w:rPr>
        <w:t xml:space="preserve"> is to provide advice and guidance to the VWA Board of Management (BOM) and their appointed staff in relation </w:t>
      </w:r>
      <w:r w:rsidR="00F51663" w:rsidRPr="00487989">
        <w:rPr>
          <w:rFonts w:ascii="Open Sans" w:hAnsi="Open Sans" w:cs="Open Sans"/>
          <w:color w:val="0F243E" w:themeColor="text2" w:themeShade="80"/>
          <w:sz w:val="20"/>
          <w:szCs w:val="20"/>
        </w:rPr>
        <w:t xml:space="preserve">to </w:t>
      </w:r>
      <w:r w:rsidR="00EA40B8" w:rsidRPr="00487989">
        <w:rPr>
          <w:rFonts w:ascii="Open Sans" w:hAnsi="Open Sans" w:cs="Open Sans"/>
          <w:color w:val="0F243E" w:themeColor="text2" w:themeShade="80"/>
          <w:sz w:val="20"/>
          <w:szCs w:val="20"/>
        </w:rPr>
        <w:t xml:space="preserve">leadership programs </w:t>
      </w:r>
      <w:r w:rsidR="00F51663" w:rsidRPr="00487989">
        <w:rPr>
          <w:rFonts w:ascii="Open Sans" w:hAnsi="Open Sans" w:cs="Open Sans"/>
          <w:color w:val="0F243E" w:themeColor="text2" w:themeShade="80"/>
          <w:sz w:val="20"/>
          <w:szCs w:val="20"/>
        </w:rPr>
        <w:t>/</w:t>
      </w:r>
      <w:r w:rsidR="00EA40B8" w:rsidRPr="00487989">
        <w:rPr>
          <w:rFonts w:ascii="Open Sans" w:hAnsi="Open Sans" w:cs="Open Sans"/>
          <w:color w:val="0F243E" w:themeColor="text2" w:themeShade="80"/>
          <w:sz w:val="20"/>
          <w:szCs w:val="20"/>
        </w:rPr>
        <w:t xml:space="preserve"> activities and to provide young people with a voice in the decision making structure of the Association.</w:t>
      </w:r>
    </w:p>
    <w:p w14:paraId="7974474E" w14:textId="77777777" w:rsidR="00EA40B8" w:rsidRPr="00487989" w:rsidRDefault="00EA40B8" w:rsidP="00EA40B8">
      <w:pPr>
        <w:pStyle w:val="NoSpacing"/>
        <w:spacing w:line="276" w:lineRule="auto"/>
        <w:jc w:val="both"/>
        <w:rPr>
          <w:rFonts w:ascii="Open Sans" w:hAnsi="Open Sans" w:cs="Open Sans"/>
          <w:color w:val="0F243E" w:themeColor="text2" w:themeShade="80"/>
          <w:sz w:val="20"/>
          <w:szCs w:val="20"/>
        </w:rPr>
      </w:pPr>
    </w:p>
    <w:p w14:paraId="3838811D" w14:textId="77777777" w:rsidR="008D65E4" w:rsidRPr="00487989" w:rsidRDefault="008D65E4" w:rsidP="008D65E4">
      <w:pPr>
        <w:pStyle w:val="NoSpacing"/>
        <w:spacing w:line="276" w:lineRule="auto"/>
        <w:jc w:val="both"/>
        <w:rPr>
          <w:rFonts w:ascii="Open Sans" w:hAnsi="Open Sans" w:cs="Open Sans"/>
          <w:b/>
          <w:i/>
          <w:color w:val="0F243E" w:themeColor="text2" w:themeShade="80"/>
          <w:sz w:val="20"/>
          <w:szCs w:val="20"/>
        </w:rPr>
      </w:pPr>
      <w:r w:rsidRPr="00487989">
        <w:rPr>
          <w:rFonts w:ascii="Open Sans" w:hAnsi="Open Sans" w:cs="Open Sans"/>
          <w:b/>
          <w:i/>
          <w:color w:val="0F243E" w:themeColor="text2" w:themeShade="80"/>
          <w:sz w:val="20"/>
          <w:szCs w:val="20"/>
        </w:rPr>
        <w:t>Membership</w:t>
      </w:r>
    </w:p>
    <w:p w14:paraId="5BA5E9DD" w14:textId="1502C529" w:rsidR="00B52EFC" w:rsidRPr="00487989" w:rsidRDefault="00B52EFC" w:rsidP="00EA40B8">
      <w:pPr>
        <w:pStyle w:val="NoSpacing"/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  <w:color w:val="0F243E" w:themeColor="text2" w:themeShade="80"/>
          <w:sz w:val="20"/>
          <w:szCs w:val="20"/>
        </w:rPr>
      </w:pPr>
      <w:r w:rsidRPr="00487989">
        <w:rPr>
          <w:rFonts w:ascii="Open Sans" w:hAnsi="Open Sans" w:cs="Open Sans"/>
          <w:color w:val="0F243E" w:themeColor="text2" w:themeShade="80"/>
          <w:sz w:val="20"/>
          <w:szCs w:val="20"/>
        </w:rPr>
        <w:t>Panel Members aged 18-24yrs, comprising of:</w:t>
      </w:r>
    </w:p>
    <w:p w14:paraId="6ABE082E" w14:textId="2616732F" w:rsidR="008D65E4" w:rsidRPr="00487989" w:rsidRDefault="008D65E4" w:rsidP="00B52EFC">
      <w:pPr>
        <w:pStyle w:val="NoSpacing"/>
        <w:numPr>
          <w:ilvl w:val="1"/>
          <w:numId w:val="3"/>
        </w:numPr>
        <w:spacing w:line="276" w:lineRule="auto"/>
        <w:jc w:val="both"/>
        <w:rPr>
          <w:rFonts w:ascii="Open Sans" w:hAnsi="Open Sans" w:cs="Open Sans"/>
          <w:color w:val="0F243E" w:themeColor="text2" w:themeShade="80"/>
          <w:sz w:val="20"/>
          <w:szCs w:val="20"/>
        </w:rPr>
      </w:pPr>
      <w:r w:rsidRPr="00487989">
        <w:rPr>
          <w:rFonts w:ascii="Open Sans" w:hAnsi="Open Sans" w:cs="Open Sans"/>
          <w:color w:val="0F243E" w:themeColor="text2" w:themeShade="80"/>
          <w:sz w:val="20"/>
          <w:szCs w:val="20"/>
        </w:rPr>
        <w:t>Chairperson (</w:t>
      </w:r>
      <w:r w:rsidR="00F51663" w:rsidRPr="00487989">
        <w:rPr>
          <w:rFonts w:ascii="Open Sans" w:hAnsi="Open Sans" w:cs="Open Sans"/>
          <w:color w:val="0F243E" w:themeColor="text2" w:themeShade="80"/>
          <w:sz w:val="20"/>
          <w:szCs w:val="20"/>
        </w:rPr>
        <w:t>t</w:t>
      </w:r>
      <w:r w:rsidR="00B52EFC" w:rsidRPr="00487989">
        <w:rPr>
          <w:rFonts w:ascii="Open Sans" w:hAnsi="Open Sans" w:cs="Open Sans"/>
          <w:color w:val="0F243E" w:themeColor="text2" w:themeShade="80"/>
          <w:sz w:val="20"/>
          <w:szCs w:val="20"/>
        </w:rPr>
        <w:t>o be undertaken by the Panel Members on a rotational basis)</w:t>
      </w:r>
    </w:p>
    <w:p w14:paraId="464D86D3" w14:textId="7C2B89B8" w:rsidR="00B52EFC" w:rsidRPr="00487989" w:rsidRDefault="00B52EFC" w:rsidP="00B52EFC">
      <w:pPr>
        <w:pStyle w:val="NoSpacing"/>
        <w:numPr>
          <w:ilvl w:val="1"/>
          <w:numId w:val="3"/>
        </w:numPr>
        <w:spacing w:line="276" w:lineRule="auto"/>
        <w:jc w:val="both"/>
        <w:rPr>
          <w:rFonts w:ascii="Open Sans" w:hAnsi="Open Sans" w:cs="Open Sans"/>
          <w:color w:val="0F243E" w:themeColor="text2" w:themeShade="80"/>
          <w:sz w:val="20"/>
          <w:szCs w:val="20"/>
        </w:rPr>
      </w:pPr>
      <w:r w:rsidRPr="00487989">
        <w:rPr>
          <w:rFonts w:ascii="Open Sans" w:hAnsi="Open Sans" w:cs="Open Sans"/>
          <w:color w:val="0F243E" w:themeColor="text2" w:themeShade="80"/>
          <w:sz w:val="20"/>
          <w:szCs w:val="20"/>
        </w:rPr>
        <w:t>9 Panel Members (with a regional spread where possible)</w:t>
      </w:r>
    </w:p>
    <w:p w14:paraId="57687502" w14:textId="334BD409" w:rsidR="008D65E4" w:rsidRPr="00487989" w:rsidRDefault="008D65E4" w:rsidP="00EA40B8">
      <w:pPr>
        <w:pStyle w:val="NoSpacing"/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  <w:color w:val="0F243E" w:themeColor="text2" w:themeShade="80"/>
          <w:sz w:val="20"/>
          <w:szCs w:val="20"/>
        </w:rPr>
      </w:pPr>
      <w:r w:rsidRPr="00487989">
        <w:rPr>
          <w:rFonts w:ascii="Open Sans" w:hAnsi="Open Sans" w:cs="Open Sans"/>
          <w:color w:val="0F243E" w:themeColor="text2" w:themeShade="80"/>
          <w:sz w:val="20"/>
          <w:szCs w:val="20"/>
        </w:rPr>
        <w:t>VWA Executive Officer</w:t>
      </w:r>
      <w:r w:rsidR="00B52EFC" w:rsidRPr="00487989">
        <w:rPr>
          <w:rFonts w:ascii="Open Sans" w:hAnsi="Open Sans" w:cs="Open Sans"/>
          <w:color w:val="0F243E" w:themeColor="text2" w:themeShade="80"/>
          <w:sz w:val="20"/>
          <w:szCs w:val="20"/>
        </w:rPr>
        <w:t xml:space="preserve"> (Communications and Marketing Coordinator)</w:t>
      </w:r>
    </w:p>
    <w:p w14:paraId="7F121982" w14:textId="31ED4F00" w:rsidR="00B52EFC" w:rsidRPr="00487989" w:rsidRDefault="00B52EFC" w:rsidP="00EA40B8">
      <w:pPr>
        <w:pStyle w:val="NoSpacing"/>
        <w:numPr>
          <w:ilvl w:val="0"/>
          <w:numId w:val="3"/>
        </w:numPr>
        <w:spacing w:line="276" w:lineRule="auto"/>
        <w:jc w:val="both"/>
        <w:rPr>
          <w:rFonts w:ascii="Open Sans" w:hAnsi="Open Sans" w:cs="Open Sans"/>
          <w:color w:val="0F243E" w:themeColor="text2" w:themeShade="80"/>
          <w:sz w:val="20"/>
          <w:szCs w:val="20"/>
        </w:rPr>
      </w:pPr>
      <w:r w:rsidRPr="00487989">
        <w:rPr>
          <w:rFonts w:ascii="Open Sans" w:hAnsi="Open Sans" w:cs="Open Sans"/>
          <w:color w:val="0F243E" w:themeColor="text2" w:themeShade="80"/>
          <w:sz w:val="20"/>
          <w:szCs w:val="20"/>
        </w:rPr>
        <w:t>VWA Coaching and Referee Committee representative (Club &amp; Workforce Development Coordinator)</w:t>
      </w:r>
    </w:p>
    <w:p w14:paraId="5D5DB8A6" w14:textId="385BC258" w:rsidR="008D65E4" w:rsidRDefault="00F67874" w:rsidP="008D65E4">
      <w:pPr>
        <w:pStyle w:val="NoSpacing"/>
        <w:spacing w:line="276" w:lineRule="auto"/>
        <w:jc w:val="both"/>
        <w:rPr>
          <w:rFonts w:ascii="Open Sans" w:hAnsi="Open Sans" w:cs="Open Sans"/>
          <w:color w:val="0F243E" w:themeColor="text2" w:themeShade="80"/>
          <w:sz w:val="20"/>
          <w:szCs w:val="20"/>
        </w:rPr>
      </w:pPr>
      <w:r w:rsidRPr="00487989">
        <w:rPr>
          <w:rFonts w:ascii="Open Sans" w:hAnsi="Open Sans" w:cs="Open Sans"/>
          <w:color w:val="0F243E" w:themeColor="text2" w:themeShade="80"/>
          <w:sz w:val="20"/>
          <w:szCs w:val="20"/>
        </w:rPr>
        <w:t>A quorum of five members (inclusive of the VWA staff) is required for all meetings.</w:t>
      </w:r>
    </w:p>
    <w:p w14:paraId="16F29C1F" w14:textId="77777777" w:rsidR="00B31CC9" w:rsidRDefault="00B31CC9" w:rsidP="008D65E4">
      <w:pPr>
        <w:pStyle w:val="NoSpacing"/>
        <w:spacing w:line="276" w:lineRule="auto"/>
        <w:jc w:val="both"/>
        <w:rPr>
          <w:rFonts w:ascii="Open Sans" w:hAnsi="Open Sans" w:cs="Open Sans"/>
          <w:color w:val="0F243E" w:themeColor="text2" w:themeShade="80"/>
          <w:sz w:val="20"/>
          <w:szCs w:val="20"/>
        </w:rPr>
      </w:pPr>
    </w:p>
    <w:p w14:paraId="745C19B7" w14:textId="19EF8A1C" w:rsidR="00B31CC9" w:rsidRPr="00B31CC9" w:rsidRDefault="00B31CC9" w:rsidP="008D65E4">
      <w:pPr>
        <w:pStyle w:val="NoSpacing"/>
        <w:spacing w:line="276" w:lineRule="auto"/>
        <w:jc w:val="both"/>
        <w:rPr>
          <w:rFonts w:ascii="Open Sans" w:hAnsi="Open Sans" w:cs="Open Sans"/>
          <w:color w:val="0F243E" w:themeColor="text2" w:themeShade="80"/>
          <w:sz w:val="20"/>
          <w:szCs w:val="20"/>
        </w:rPr>
      </w:pPr>
      <w:r w:rsidRPr="00B31CC9">
        <w:rPr>
          <w:rFonts w:ascii="Open Sans" w:hAnsi="Open Sans" w:cs="Open Sans"/>
          <w:color w:val="0F243E" w:themeColor="text2" w:themeShade="80"/>
          <w:sz w:val="20"/>
          <w:szCs w:val="20"/>
        </w:rPr>
        <w:t xml:space="preserve">The Panel may from time to time see benefit from inviting another VWA Committee Representative / staff member / stakeholder to attend the meeting.  </w:t>
      </w:r>
      <w:r>
        <w:rPr>
          <w:rFonts w:ascii="Open Sans" w:hAnsi="Open Sans" w:cs="Open Sans"/>
          <w:color w:val="0F243E" w:themeColor="text2" w:themeShade="80"/>
          <w:sz w:val="20"/>
          <w:szCs w:val="20"/>
        </w:rPr>
        <w:t>As and w</w:t>
      </w:r>
      <w:r w:rsidRPr="00B31CC9">
        <w:rPr>
          <w:rFonts w:ascii="Open Sans" w:hAnsi="Open Sans" w:cs="Open Sans"/>
          <w:color w:val="0F243E" w:themeColor="text2" w:themeShade="80"/>
          <w:sz w:val="20"/>
          <w:szCs w:val="20"/>
        </w:rPr>
        <w:t>hen appropriate</w:t>
      </w:r>
      <w:r>
        <w:rPr>
          <w:rFonts w:ascii="Open Sans" w:hAnsi="Open Sans" w:cs="Open Sans"/>
          <w:color w:val="0F243E" w:themeColor="text2" w:themeShade="80"/>
          <w:sz w:val="20"/>
          <w:szCs w:val="20"/>
        </w:rPr>
        <w:t>,</w:t>
      </w:r>
      <w:r w:rsidRPr="00B31CC9">
        <w:rPr>
          <w:rFonts w:ascii="Open Sans" w:hAnsi="Open Sans" w:cs="Open Sans"/>
          <w:color w:val="0F243E" w:themeColor="text2" w:themeShade="80"/>
          <w:sz w:val="20"/>
          <w:szCs w:val="20"/>
        </w:rPr>
        <w:t xml:space="preserve"> the VWA Executive Officer will invite them to the meeting(s).</w:t>
      </w:r>
    </w:p>
    <w:p w14:paraId="09B5D67C" w14:textId="77777777" w:rsidR="00F67874" w:rsidRDefault="00F67874" w:rsidP="008D65E4">
      <w:pPr>
        <w:pStyle w:val="NoSpacing"/>
        <w:spacing w:line="276" w:lineRule="auto"/>
        <w:jc w:val="both"/>
        <w:rPr>
          <w:rFonts w:ascii="Open Sans" w:hAnsi="Open Sans" w:cs="Open Sans"/>
          <w:b/>
          <w:i/>
          <w:color w:val="0F243E" w:themeColor="text2" w:themeShade="80"/>
          <w:sz w:val="20"/>
          <w:szCs w:val="20"/>
        </w:rPr>
      </w:pPr>
    </w:p>
    <w:p w14:paraId="6F8199DC" w14:textId="77777777" w:rsidR="008D65E4" w:rsidRPr="00487989" w:rsidRDefault="008D65E4" w:rsidP="008D65E4">
      <w:pPr>
        <w:pStyle w:val="NoSpacing"/>
        <w:spacing w:line="276" w:lineRule="auto"/>
        <w:jc w:val="both"/>
        <w:rPr>
          <w:rFonts w:ascii="Open Sans" w:hAnsi="Open Sans" w:cs="Open Sans"/>
          <w:b/>
          <w:i/>
          <w:color w:val="0F243E" w:themeColor="text2" w:themeShade="80"/>
          <w:sz w:val="20"/>
          <w:szCs w:val="20"/>
        </w:rPr>
      </w:pPr>
      <w:r w:rsidRPr="00487989">
        <w:rPr>
          <w:rFonts w:ascii="Open Sans" w:hAnsi="Open Sans" w:cs="Open Sans"/>
          <w:b/>
          <w:i/>
          <w:color w:val="0F243E" w:themeColor="text2" w:themeShade="80"/>
          <w:sz w:val="20"/>
          <w:szCs w:val="20"/>
        </w:rPr>
        <w:t>Roles and Responsibilities</w:t>
      </w:r>
    </w:p>
    <w:p w14:paraId="015C0193" w14:textId="77777777" w:rsidR="00F67874" w:rsidRPr="00B31CC9" w:rsidRDefault="00F67874" w:rsidP="00B31CC9">
      <w:pPr>
        <w:pStyle w:val="NoSpacing"/>
        <w:numPr>
          <w:ilvl w:val="0"/>
          <w:numId w:val="8"/>
        </w:numPr>
        <w:spacing w:line="276" w:lineRule="auto"/>
        <w:jc w:val="both"/>
        <w:rPr>
          <w:rFonts w:ascii="Open Sans" w:hAnsi="Open Sans" w:cs="Open Sans"/>
          <w:color w:val="0F243E" w:themeColor="text2" w:themeShade="80"/>
          <w:sz w:val="20"/>
        </w:rPr>
      </w:pPr>
      <w:r w:rsidRPr="00B31CC9">
        <w:rPr>
          <w:rFonts w:ascii="Open Sans" w:hAnsi="Open Sans" w:cs="Open Sans"/>
          <w:color w:val="0F243E" w:themeColor="text2" w:themeShade="80"/>
          <w:sz w:val="20"/>
        </w:rPr>
        <w:t>Development of the Lead Volley Pathway, commencing with the Lead Volley Camp</w:t>
      </w:r>
    </w:p>
    <w:p w14:paraId="0939134E" w14:textId="20D14713" w:rsidR="00F67874" w:rsidRPr="00B31CC9" w:rsidRDefault="00F67874" w:rsidP="00B31CC9">
      <w:pPr>
        <w:pStyle w:val="NoSpacing"/>
        <w:numPr>
          <w:ilvl w:val="0"/>
          <w:numId w:val="8"/>
        </w:numPr>
        <w:spacing w:line="276" w:lineRule="auto"/>
        <w:jc w:val="both"/>
        <w:rPr>
          <w:rFonts w:ascii="Open Sans" w:hAnsi="Open Sans" w:cs="Open Sans"/>
          <w:color w:val="0F243E" w:themeColor="text2" w:themeShade="80"/>
          <w:sz w:val="20"/>
        </w:rPr>
      </w:pPr>
      <w:r w:rsidRPr="00B31CC9">
        <w:rPr>
          <w:rFonts w:ascii="Open Sans" w:hAnsi="Open Sans" w:cs="Open Sans"/>
          <w:color w:val="0F243E" w:themeColor="text2" w:themeShade="80"/>
          <w:sz w:val="20"/>
        </w:rPr>
        <w:t>Communicating with, and promoting the leadership pathway, to young people through the VWA networks, including social media and the VWA website</w:t>
      </w:r>
    </w:p>
    <w:p w14:paraId="41B504B2" w14:textId="5601C545" w:rsidR="00F67874" w:rsidRPr="00B31CC9" w:rsidRDefault="00F67874" w:rsidP="00B31CC9">
      <w:pPr>
        <w:pStyle w:val="NoSpacing"/>
        <w:numPr>
          <w:ilvl w:val="0"/>
          <w:numId w:val="8"/>
        </w:numPr>
        <w:spacing w:line="276" w:lineRule="auto"/>
        <w:jc w:val="both"/>
        <w:rPr>
          <w:rFonts w:ascii="Open Sans" w:hAnsi="Open Sans" w:cs="Open Sans"/>
          <w:color w:val="0F243E" w:themeColor="text2" w:themeShade="80"/>
          <w:sz w:val="20"/>
        </w:rPr>
      </w:pPr>
      <w:r w:rsidRPr="00B31CC9">
        <w:rPr>
          <w:rFonts w:ascii="Open Sans" w:hAnsi="Open Sans" w:cs="Open Sans"/>
          <w:color w:val="0F243E" w:themeColor="text2" w:themeShade="80"/>
          <w:sz w:val="20"/>
        </w:rPr>
        <w:t>Identification of accreditation and recognition opportunities for young leaders internally and externally</w:t>
      </w:r>
    </w:p>
    <w:p w14:paraId="0F1A90FE" w14:textId="054ACD1A" w:rsidR="00F67874" w:rsidRPr="00B31CC9" w:rsidRDefault="00F67874" w:rsidP="00B31CC9">
      <w:pPr>
        <w:pStyle w:val="NoSpacing"/>
        <w:numPr>
          <w:ilvl w:val="0"/>
          <w:numId w:val="8"/>
        </w:numPr>
        <w:spacing w:line="276" w:lineRule="auto"/>
        <w:jc w:val="both"/>
        <w:rPr>
          <w:rFonts w:ascii="Open Sans" w:hAnsi="Open Sans" w:cs="Open Sans"/>
          <w:color w:val="0F243E" w:themeColor="text2" w:themeShade="80"/>
          <w:sz w:val="20"/>
        </w:rPr>
      </w:pPr>
      <w:r w:rsidRPr="00B31CC9">
        <w:rPr>
          <w:rFonts w:ascii="Open Sans" w:hAnsi="Open Sans" w:cs="Open Sans"/>
          <w:color w:val="0F243E" w:themeColor="text2" w:themeShade="80"/>
          <w:sz w:val="20"/>
        </w:rPr>
        <w:t>Development of coach and referee mentor programs for young leaders</w:t>
      </w:r>
    </w:p>
    <w:p w14:paraId="65A20926" w14:textId="7C63EEE8" w:rsidR="00F67874" w:rsidRPr="00B31CC9" w:rsidRDefault="00F67874" w:rsidP="00B31CC9">
      <w:pPr>
        <w:pStyle w:val="NoSpacing"/>
        <w:numPr>
          <w:ilvl w:val="0"/>
          <w:numId w:val="8"/>
        </w:numPr>
        <w:spacing w:line="276" w:lineRule="auto"/>
        <w:jc w:val="both"/>
        <w:rPr>
          <w:rFonts w:ascii="Open Sans" w:hAnsi="Open Sans" w:cs="Open Sans"/>
          <w:color w:val="0F243E" w:themeColor="text2" w:themeShade="80"/>
          <w:sz w:val="20"/>
        </w:rPr>
      </w:pPr>
      <w:r w:rsidRPr="00B31CC9">
        <w:rPr>
          <w:rFonts w:ascii="Open Sans" w:hAnsi="Open Sans" w:cs="Open Sans"/>
          <w:color w:val="0F243E" w:themeColor="text2" w:themeShade="80"/>
          <w:sz w:val="20"/>
        </w:rPr>
        <w:t>Providing advice and guidance (a voice) on volleyball programs, initiative, resources and policies that may impact upon young people</w:t>
      </w:r>
    </w:p>
    <w:p w14:paraId="663E2FFA" w14:textId="77777777" w:rsidR="00F67874" w:rsidRPr="00B31CC9" w:rsidRDefault="00F67874" w:rsidP="00B31CC9">
      <w:pPr>
        <w:pStyle w:val="NoSpacing"/>
        <w:numPr>
          <w:ilvl w:val="0"/>
          <w:numId w:val="8"/>
        </w:numPr>
        <w:spacing w:line="276" w:lineRule="auto"/>
        <w:jc w:val="both"/>
        <w:rPr>
          <w:rFonts w:ascii="Open Sans" w:hAnsi="Open Sans" w:cs="Open Sans"/>
          <w:color w:val="0F243E" w:themeColor="text2" w:themeShade="80"/>
          <w:sz w:val="20"/>
        </w:rPr>
      </w:pPr>
      <w:r w:rsidRPr="00B31CC9">
        <w:rPr>
          <w:rFonts w:ascii="Open Sans" w:hAnsi="Open Sans" w:cs="Open Sans"/>
          <w:color w:val="0F243E" w:themeColor="text2" w:themeShade="80"/>
          <w:sz w:val="20"/>
        </w:rPr>
        <w:t>Representing the VWALVP at state competitions and events, where applicable</w:t>
      </w:r>
    </w:p>
    <w:p w14:paraId="4E48C358" w14:textId="4481F21C" w:rsidR="00487989" w:rsidRPr="00B31CC9" w:rsidRDefault="00487989" w:rsidP="00B31CC9">
      <w:pPr>
        <w:pStyle w:val="NoSpacing"/>
        <w:numPr>
          <w:ilvl w:val="0"/>
          <w:numId w:val="8"/>
        </w:numPr>
        <w:spacing w:line="276" w:lineRule="auto"/>
        <w:jc w:val="both"/>
        <w:rPr>
          <w:rFonts w:ascii="Open Sans" w:hAnsi="Open Sans" w:cs="Open Sans"/>
          <w:color w:val="0F243E" w:themeColor="text2" w:themeShade="80"/>
          <w:sz w:val="20"/>
        </w:rPr>
      </w:pPr>
      <w:r w:rsidRPr="00B31CC9">
        <w:rPr>
          <w:rFonts w:ascii="Open Sans" w:hAnsi="Open Sans" w:cs="Open Sans"/>
          <w:color w:val="0F243E" w:themeColor="text2" w:themeShade="80"/>
          <w:sz w:val="20"/>
        </w:rPr>
        <w:t xml:space="preserve">Representing </w:t>
      </w:r>
      <w:r w:rsidR="00F67874" w:rsidRPr="00B31CC9">
        <w:rPr>
          <w:rFonts w:ascii="Open Sans" w:hAnsi="Open Sans" w:cs="Open Sans"/>
          <w:color w:val="0F243E" w:themeColor="text2" w:themeShade="80"/>
          <w:sz w:val="20"/>
        </w:rPr>
        <w:t xml:space="preserve">the VWALVP on </w:t>
      </w:r>
      <w:r w:rsidRPr="00B31CC9">
        <w:rPr>
          <w:rFonts w:ascii="Open Sans" w:hAnsi="Open Sans" w:cs="Open Sans"/>
          <w:color w:val="0F243E" w:themeColor="text2" w:themeShade="80"/>
          <w:sz w:val="20"/>
        </w:rPr>
        <w:t>additional panels / committees</w:t>
      </w:r>
    </w:p>
    <w:p w14:paraId="1FF1FBBC" w14:textId="77777777" w:rsidR="00F67874" w:rsidRPr="00F67874" w:rsidRDefault="00F67874" w:rsidP="00F67874">
      <w:pPr>
        <w:pStyle w:val="NoSpacing"/>
      </w:pPr>
    </w:p>
    <w:p w14:paraId="1E3AA8D4" w14:textId="77777777" w:rsidR="008D65E4" w:rsidRPr="00487989" w:rsidRDefault="008D65E4" w:rsidP="008D65E4">
      <w:pPr>
        <w:pStyle w:val="NoSpacing"/>
        <w:spacing w:line="276" w:lineRule="auto"/>
        <w:jc w:val="both"/>
        <w:rPr>
          <w:rFonts w:ascii="Open Sans" w:hAnsi="Open Sans" w:cs="Open Sans"/>
          <w:b/>
          <w:i/>
          <w:color w:val="0F243E" w:themeColor="text2" w:themeShade="80"/>
          <w:sz w:val="20"/>
          <w:szCs w:val="20"/>
        </w:rPr>
      </w:pPr>
      <w:r w:rsidRPr="00487989">
        <w:rPr>
          <w:rFonts w:ascii="Open Sans" w:hAnsi="Open Sans" w:cs="Open Sans"/>
          <w:b/>
          <w:i/>
          <w:color w:val="0F243E" w:themeColor="text2" w:themeShade="80"/>
          <w:sz w:val="20"/>
          <w:szCs w:val="20"/>
        </w:rPr>
        <w:t>Working Principles</w:t>
      </w:r>
    </w:p>
    <w:p w14:paraId="4B6B8523" w14:textId="27AA58F5" w:rsidR="008D65E4" w:rsidRPr="00487989" w:rsidRDefault="008D65E4" w:rsidP="00F67874">
      <w:pPr>
        <w:pStyle w:val="NoSpacing"/>
        <w:numPr>
          <w:ilvl w:val="0"/>
          <w:numId w:val="7"/>
        </w:numPr>
        <w:spacing w:line="276" w:lineRule="auto"/>
        <w:ind w:left="360"/>
        <w:jc w:val="both"/>
        <w:rPr>
          <w:rFonts w:ascii="Open Sans" w:hAnsi="Open Sans" w:cs="Open Sans"/>
          <w:color w:val="0F243E" w:themeColor="text2" w:themeShade="80"/>
          <w:sz w:val="20"/>
          <w:szCs w:val="20"/>
        </w:rPr>
      </w:pPr>
      <w:r w:rsidRPr="00487989">
        <w:rPr>
          <w:rFonts w:ascii="Open Sans" w:hAnsi="Open Sans" w:cs="Open Sans"/>
          <w:color w:val="0F243E" w:themeColor="text2" w:themeShade="80"/>
          <w:sz w:val="20"/>
          <w:szCs w:val="20"/>
        </w:rPr>
        <w:t>The members of the VWA</w:t>
      </w:r>
      <w:r w:rsidR="00F67874">
        <w:rPr>
          <w:rFonts w:ascii="Open Sans" w:hAnsi="Open Sans" w:cs="Open Sans"/>
          <w:color w:val="0F243E" w:themeColor="text2" w:themeShade="80"/>
          <w:sz w:val="20"/>
          <w:szCs w:val="20"/>
        </w:rPr>
        <w:t>LVP</w:t>
      </w:r>
      <w:r w:rsidRPr="00487989">
        <w:rPr>
          <w:rFonts w:ascii="Open Sans" w:hAnsi="Open Sans" w:cs="Open Sans"/>
          <w:color w:val="0F243E" w:themeColor="text2" w:themeShade="80"/>
          <w:sz w:val="20"/>
          <w:szCs w:val="20"/>
        </w:rPr>
        <w:t xml:space="preserve"> will </w:t>
      </w:r>
      <w:proofErr w:type="spellStart"/>
      <w:r w:rsidRPr="00487989">
        <w:rPr>
          <w:rFonts w:ascii="Open Sans" w:hAnsi="Open Sans" w:cs="Open Sans"/>
          <w:color w:val="0F243E" w:themeColor="text2" w:themeShade="80"/>
          <w:sz w:val="20"/>
          <w:szCs w:val="20"/>
        </w:rPr>
        <w:t>recognise</w:t>
      </w:r>
      <w:proofErr w:type="spellEnd"/>
      <w:r w:rsidRPr="00487989">
        <w:rPr>
          <w:rFonts w:ascii="Open Sans" w:hAnsi="Open Sans" w:cs="Open Sans"/>
          <w:color w:val="0F243E" w:themeColor="text2" w:themeShade="80"/>
          <w:sz w:val="20"/>
          <w:szCs w:val="20"/>
        </w:rPr>
        <w:t xml:space="preserve"> and support the confidential nature of the </w:t>
      </w:r>
      <w:r w:rsidR="00F67874">
        <w:rPr>
          <w:rFonts w:ascii="Open Sans" w:hAnsi="Open Sans" w:cs="Open Sans"/>
          <w:color w:val="0F243E" w:themeColor="text2" w:themeShade="80"/>
          <w:sz w:val="20"/>
          <w:szCs w:val="20"/>
        </w:rPr>
        <w:t>pane</w:t>
      </w:r>
      <w:r w:rsidR="00370774">
        <w:rPr>
          <w:rFonts w:ascii="Open Sans" w:hAnsi="Open Sans" w:cs="Open Sans"/>
          <w:color w:val="0F243E" w:themeColor="text2" w:themeShade="80"/>
          <w:sz w:val="20"/>
          <w:szCs w:val="20"/>
        </w:rPr>
        <w:t>l</w:t>
      </w:r>
      <w:r w:rsidRPr="00487989">
        <w:rPr>
          <w:rFonts w:ascii="Open Sans" w:hAnsi="Open Sans" w:cs="Open Sans"/>
          <w:color w:val="0F243E" w:themeColor="text2" w:themeShade="80"/>
          <w:sz w:val="20"/>
          <w:szCs w:val="20"/>
        </w:rPr>
        <w:t xml:space="preserve"> and will support and develop Volleyball WA’s broad goal regarding </w:t>
      </w:r>
      <w:r w:rsidR="00F67874">
        <w:rPr>
          <w:rFonts w:ascii="Open Sans" w:hAnsi="Open Sans" w:cs="Open Sans"/>
          <w:color w:val="0F243E" w:themeColor="text2" w:themeShade="80"/>
          <w:sz w:val="20"/>
          <w:szCs w:val="20"/>
        </w:rPr>
        <w:t>leadership development</w:t>
      </w:r>
      <w:r w:rsidRPr="00487989">
        <w:rPr>
          <w:rFonts w:ascii="Open Sans" w:hAnsi="Open Sans" w:cs="Open Sans"/>
          <w:color w:val="0F243E" w:themeColor="text2" w:themeShade="80"/>
          <w:sz w:val="20"/>
          <w:szCs w:val="20"/>
        </w:rPr>
        <w:t>.</w:t>
      </w:r>
    </w:p>
    <w:p w14:paraId="74291B06" w14:textId="24139909" w:rsidR="008D65E4" w:rsidRPr="00487989" w:rsidRDefault="008D65E4" w:rsidP="00F67874">
      <w:pPr>
        <w:pStyle w:val="NoSpacing"/>
        <w:numPr>
          <w:ilvl w:val="0"/>
          <w:numId w:val="7"/>
        </w:numPr>
        <w:spacing w:line="276" w:lineRule="auto"/>
        <w:ind w:left="360"/>
        <w:jc w:val="both"/>
        <w:rPr>
          <w:rFonts w:ascii="Open Sans" w:hAnsi="Open Sans" w:cs="Open Sans"/>
          <w:color w:val="0F243E" w:themeColor="text2" w:themeShade="80"/>
          <w:sz w:val="20"/>
          <w:szCs w:val="20"/>
        </w:rPr>
      </w:pPr>
      <w:r w:rsidRPr="00487989">
        <w:rPr>
          <w:rFonts w:ascii="Open Sans" w:hAnsi="Open Sans" w:cs="Open Sans"/>
          <w:color w:val="0F243E" w:themeColor="text2" w:themeShade="80"/>
          <w:sz w:val="20"/>
          <w:szCs w:val="20"/>
        </w:rPr>
        <w:t>The members of the VWA</w:t>
      </w:r>
      <w:r w:rsidR="00F67874">
        <w:rPr>
          <w:rFonts w:ascii="Open Sans" w:hAnsi="Open Sans" w:cs="Open Sans"/>
          <w:color w:val="0F243E" w:themeColor="text2" w:themeShade="80"/>
          <w:sz w:val="20"/>
          <w:szCs w:val="20"/>
        </w:rPr>
        <w:t>LVP</w:t>
      </w:r>
      <w:r w:rsidRPr="00487989">
        <w:rPr>
          <w:rFonts w:ascii="Open Sans" w:hAnsi="Open Sans" w:cs="Open Sans"/>
          <w:color w:val="0F243E" w:themeColor="text2" w:themeShade="80"/>
          <w:sz w:val="20"/>
          <w:szCs w:val="20"/>
        </w:rPr>
        <w:t xml:space="preserve"> will support Volleyball WA’s mission and vision statements and will abide and be bound by the Volleyball WA’s constitution, by-laws and Codes of Conduct.</w:t>
      </w:r>
    </w:p>
    <w:p w14:paraId="67FE9AB5" w14:textId="77777777" w:rsidR="008D65E4" w:rsidRPr="00487989" w:rsidRDefault="008D65E4" w:rsidP="008D65E4">
      <w:pPr>
        <w:pStyle w:val="NoSpacing"/>
        <w:spacing w:line="276" w:lineRule="auto"/>
        <w:jc w:val="both"/>
        <w:rPr>
          <w:rFonts w:ascii="Open Sans" w:hAnsi="Open Sans" w:cs="Open Sans"/>
          <w:color w:val="0F243E" w:themeColor="text2" w:themeShade="80"/>
          <w:sz w:val="20"/>
          <w:szCs w:val="20"/>
        </w:rPr>
      </w:pPr>
      <w:bookmarkStart w:id="0" w:name="_GoBack"/>
      <w:bookmarkEnd w:id="0"/>
    </w:p>
    <w:p w14:paraId="2D81F064" w14:textId="77777777" w:rsidR="008D65E4" w:rsidRPr="00487989" w:rsidRDefault="008D65E4" w:rsidP="008D65E4">
      <w:pPr>
        <w:pStyle w:val="NoSpacing"/>
        <w:spacing w:line="276" w:lineRule="auto"/>
        <w:jc w:val="both"/>
        <w:rPr>
          <w:rFonts w:ascii="Open Sans" w:hAnsi="Open Sans" w:cs="Open Sans"/>
          <w:b/>
          <w:i/>
          <w:color w:val="0F243E" w:themeColor="text2" w:themeShade="80"/>
          <w:sz w:val="20"/>
          <w:szCs w:val="20"/>
        </w:rPr>
      </w:pPr>
      <w:r w:rsidRPr="00487989">
        <w:rPr>
          <w:rFonts w:ascii="Open Sans" w:hAnsi="Open Sans" w:cs="Open Sans"/>
          <w:b/>
          <w:i/>
          <w:color w:val="0F243E" w:themeColor="text2" w:themeShade="80"/>
          <w:sz w:val="20"/>
          <w:szCs w:val="20"/>
        </w:rPr>
        <w:t>Reporting to:</w:t>
      </w:r>
    </w:p>
    <w:p w14:paraId="6CEFEF9C" w14:textId="2F7F72FA" w:rsidR="008D65E4" w:rsidRPr="00487989" w:rsidRDefault="008D65E4" w:rsidP="008D65E4">
      <w:pPr>
        <w:pStyle w:val="NoSpacing"/>
        <w:spacing w:line="276" w:lineRule="auto"/>
        <w:jc w:val="both"/>
        <w:rPr>
          <w:rFonts w:ascii="Open Sans" w:hAnsi="Open Sans" w:cs="Open Sans"/>
          <w:color w:val="0F243E" w:themeColor="text2" w:themeShade="80"/>
          <w:sz w:val="20"/>
          <w:szCs w:val="20"/>
        </w:rPr>
      </w:pPr>
      <w:r w:rsidRPr="00487989">
        <w:rPr>
          <w:rFonts w:ascii="Open Sans" w:hAnsi="Open Sans" w:cs="Open Sans"/>
          <w:color w:val="0F243E" w:themeColor="text2" w:themeShade="80"/>
          <w:sz w:val="20"/>
          <w:szCs w:val="20"/>
        </w:rPr>
        <w:t xml:space="preserve">The </w:t>
      </w:r>
      <w:r w:rsidR="00F67874">
        <w:rPr>
          <w:rFonts w:ascii="Open Sans" w:hAnsi="Open Sans" w:cs="Open Sans"/>
          <w:color w:val="0F243E" w:themeColor="text2" w:themeShade="80"/>
          <w:sz w:val="20"/>
          <w:szCs w:val="20"/>
        </w:rPr>
        <w:t>VWALVP</w:t>
      </w:r>
      <w:r w:rsidRPr="00487989">
        <w:rPr>
          <w:rFonts w:ascii="Open Sans" w:hAnsi="Open Sans" w:cs="Open Sans"/>
          <w:color w:val="0F243E" w:themeColor="text2" w:themeShade="80"/>
          <w:sz w:val="20"/>
          <w:szCs w:val="20"/>
        </w:rPr>
        <w:t xml:space="preserve"> is a working </w:t>
      </w:r>
      <w:r w:rsidR="00F67874">
        <w:rPr>
          <w:rFonts w:ascii="Open Sans" w:hAnsi="Open Sans" w:cs="Open Sans"/>
          <w:color w:val="0F243E" w:themeColor="text2" w:themeShade="80"/>
          <w:sz w:val="20"/>
          <w:szCs w:val="20"/>
        </w:rPr>
        <w:t>group (panel)</w:t>
      </w:r>
      <w:r w:rsidRPr="00487989">
        <w:rPr>
          <w:rFonts w:ascii="Open Sans" w:hAnsi="Open Sans" w:cs="Open Sans"/>
          <w:color w:val="0F243E" w:themeColor="text2" w:themeShade="80"/>
          <w:sz w:val="20"/>
          <w:szCs w:val="20"/>
        </w:rPr>
        <w:t xml:space="preserve"> within the VWA structure.  The nominated staff member will provide Executive Officer support to the VW</w:t>
      </w:r>
      <w:r w:rsidR="00F67874">
        <w:rPr>
          <w:rFonts w:ascii="Open Sans" w:hAnsi="Open Sans" w:cs="Open Sans"/>
          <w:color w:val="0F243E" w:themeColor="text2" w:themeShade="80"/>
          <w:sz w:val="20"/>
          <w:szCs w:val="20"/>
        </w:rPr>
        <w:t>ALVP</w:t>
      </w:r>
      <w:r w:rsidRPr="00487989">
        <w:rPr>
          <w:rFonts w:ascii="Open Sans" w:hAnsi="Open Sans" w:cs="Open Sans"/>
          <w:color w:val="0F243E" w:themeColor="text2" w:themeShade="80"/>
          <w:sz w:val="20"/>
          <w:szCs w:val="20"/>
        </w:rPr>
        <w:t xml:space="preserve"> and </w:t>
      </w:r>
      <w:r w:rsidR="00F67874">
        <w:rPr>
          <w:rFonts w:ascii="Open Sans" w:hAnsi="Open Sans" w:cs="Open Sans"/>
          <w:color w:val="0F243E" w:themeColor="text2" w:themeShade="80"/>
          <w:sz w:val="20"/>
          <w:szCs w:val="20"/>
        </w:rPr>
        <w:t>when required will forward the panel’s</w:t>
      </w:r>
      <w:r w:rsidRPr="00487989">
        <w:rPr>
          <w:rFonts w:ascii="Open Sans" w:hAnsi="Open Sans" w:cs="Open Sans"/>
          <w:color w:val="0F243E" w:themeColor="text2" w:themeShade="80"/>
          <w:sz w:val="20"/>
          <w:szCs w:val="20"/>
        </w:rPr>
        <w:t xml:space="preserve"> recommendations to the</w:t>
      </w:r>
      <w:r w:rsidR="00F67874">
        <w:rPr>
          <w:rFonts w:ascii="Open Sans" w:hAnsi="Open Sans" w:cs="Open Sans"/>
          <w:color w:val="0F243E" w:themeColor="text2" w:themeShade="80"/>
          <w:sz w:val="20"/>
          <w:szCs w:val="20"/>
        </w:rPr>
        <w:t xml:space="preserve"> relevant</w:t>
      </w:r>
      <w:r w:rsidRPr="00487989">
        <w:rPr>
          <w:rFonts w:ascii="Open Sans" w:hAnsi="Open Sans" w:cs="Open Sans"/>
          <w:color w:val="0F243E" w:themeColor="text2" w:themeShade="80"/>
          <w:sz w:val="20"/>
          <w:szCs w:val="20"/>
        </w:rPr>
        <w:t xml:space="preserve"> VWA </w:t>
      </w:r>
      <w:r w:rsidR="00F67874">
        <w:rPr>
          <w:rFonts w:ascii="Open Sans" w:hAnsi="Open Sans" w:cs="Open Sans"/>
          <w:color w:val="0F243E" w:themeColor="text2" w:themeShade="80"/>
          <w:sz w:val="20"/>
          <w:szCs w:val="20"/>
        </w:rPr>
        <w:t xml:space="preserve">Committee / </w:t>
      </w:r>
      <w:r w:rsidRPr="00487989">
        <w:rPr>
          <w:rFonts w:ascii="Open Sans" w:hAnsi="Open Sans" w:cs="Open Sans"/>
          <w:color w:val="0F243E" w:themeColor="text2" w:themeShade="80"/>
          <w:sz w:val="20"/>
          <w:szCs w:val="20"/>
        </w:rPr>
        <w:t>Board for discussion and ratification as required.</w:t>
      </w:r>
    </w:p>
    <w:p w14:paraId="4BC83838" w14:textId="77777777" w:rsidR="008D65E4" w:rsidRPr="00487989" w:rsidRDefault="008D65E4" w:rsidP="008D65E4">
      <w:pPr>
        <w:pStyle w:val="NoSpacing"/>
        <w:spacing w:line="276" w:lineRule="auto"/>
        <w:jc w:val="both"/>
        <w:rPr>
          <w:rFonts w:ascii="Open Sans" w:hAnsi="Open Sans" w:cs="Open Sans"/>
          <w:color w:val="0F243E" w:themeColor="text2" w:themeShade="80"/>
          <w:sz w:val="20"/>
          <w:szCs w:val="20"/>
        </w:rPr>
      </w:pPr>
    </w:p>
    <w:p w14:paraId="54E47F19" w14:textId="77777777" w:rsidR="00B31CC9" w:rsidRDefault="00B31CC9" w:rsidP="008D65E4">
      <w:pPr>
        <w:pStyle w:val="NoSpacing"/>
        <w:spacing w:line="276" w:lineRule="auto"/>
        <w:jc w:val="both"/>
        <w:rPr>
          <w:rFonts w:ascii="Open Sans" w:hAnsi="Open Sans" w:cs="Open Sans"/>
          <w:color w:val="0F243E" w:themeColor="text2" w:themeShade="80"/>
          <w:sz w:val="20"/>
          <w:szCs w:val="20"/>
        </w:rPr>
      </w:pPr>
    </w:p>
    <w:p w14:paraId="5CECC057" w14:textId="77777777" w:rsidR="00B31CC9" w:rsidRDefault="00B31CC9" w:rsidP="008D65E4">
      <w:pPr>
        <w:pStyle w:val="NoSpacing"/>
        <w:spacing w:line="276" w:lineRule="auto"/>
        <w:jc w:val="both"/>
        <w:rPr>
          <w:rFonts w:ascii="Open Sans" w:hAnsi="Open Sans" w:cs="Open Sans"/>
          <w:color w:val="0F243E" w:themeColor="text2" w:themeShade="80"/>
          <w:sz w:val="20"/>
          <w:szCs w:val="20"/>
        </w:rPr>
      </w:pPr>
    </w:p>
    <w:p w14:paraId="5B21A29F" w14:textId="1501B21E" w:rsidR="008D65E4" w:rsidRPr="00487989" w:rsidRDefault="008D65E4" w:rsidP="008D65E4">
      <w:pPr>
        <w:pStyle w:val="NoSpacing"/>
        <w:spacing w:line="276" w:lineRule="auto"/>
        <w:jc w:val="both"/>
        <w:rPr>
          <w:rFonts w:ascii="Open Sans" w:hAnsi="Open Sans" w:cs="Open Sans"/>
          <w:color w:val="0F243E" w:themeColor="text2" w:themeShade="80"/>
          <w:sz w:val="20"/>
          <w:szCs w:val="20"/>
        </w:rPr>
      </w:pPr>
      <w:r w:rsidRPr="00487989">
        <w:rPr>
          <w:rFonts w:ascii="Open Sans" w:hAnsi="Open Sans" w:cs="Open Sans"/>
          <w:color w:val="0F243E" w:themeColor="text2" w:themeShade="80"/>
          <w:sz w:val="20"/>
          <w:szCs w:val="20"/>
        </w:rPr>
        <w:t>Notes from the VWA</w:t>
      </w:r>
      <w:r w:rsidR="00F67874">
        <w:rPr>
          <w:rFonts w:ascii="Open Sans" w:hAnsi="Open Sans" w:cs="Open Sans"/>
          <w:color w:val="0F243E" w:themeColor="text2" w:themeShade="80"/>
          <w:sz w:val="20"/>
          <w:szCs w:val="20"/>
        </w:rPr>
        <w:t>LVP</w:t>
      </w:r>
      <w:r w:rsidRPr="00487989">
        <w:rPr>
          <w:rFonts w:ascii="Open Sans" w:hAnsi="Open Sans" w:cs="Open Sans"/>
          <w:color w:val="0F243E" w:themeColor="text2" w:themeShade="80"/>
          <w:sz w:val="20"/>
          <w:szCs w:val="20"/>
        </w:rPr>
        <w:t xml:space="preserve"> are to be tabled and approved at the next official VWA Board meeting. Once endorsed, they will be made available on the VWA website.</w:t>
      </w:r>
    </w:p>
    <w:p w14:paraId="34688547" w14:textId="77777777" w:rsidR="008D65E4" w:rsidRPr="00487989" w:rsidRDefault="008D65E4" w:rsidP="008D65E4">
      <w:pPr>
        <w:pStyle w:val="NoSpacing"/>
        <w:spacing w:line="276" w:lineRule="auto"/>
        <w:jc w:val="both"/>
        <w:rPr>
          <w:rFonts w:ascii="Open Sans" w:hAnsi="Open Sans" w:cs="Open Sans"/>
          <w:color w:val="0F243E" w:themeColor="text2" w:themeShade="80"/>
          <w:sz w:val="20"/>
          <w:szCs w:val="20"/>
        </w:rPr>
      </w:pPr>
    </w:p>
    <w:p w14:paraId="28CDD4A1" w14:textId="5D7023E8" w:rsidR="008D65E4" w:rsidRPr="00487989" w:rsidRDefault="008D65E4" w:rsidP="008D65E4">
      <w:pPr>
        <w:pStyle w:val="NoSpacing"/>
        <w:spacing w:line="276" w:lineRule="auto"/>
        <w:jc w:val="both"/>
        <w:rPr>
          <w:rFonts w:ascii="Open Sans" w:hAnsi="Open Sans" w:cs="Open Sans"/>
          <w:color w:val="0F243E" w:themeColor="text2" w:themeShade="80"/>
          <w:sz w:val="20"/>
          <w:szCs w:val="20"/>
        </w:rPr>
      </w:pPr>
      <w:r w:rsidRPr="00487989">
        <w:rPr>
          <w:rFonts w:ascii="Open Sans" w:hAnsi="Open Sans" w:cs="Open Sans"/>
          <w:color w:val="0F243E" w:themeColor="text2" w:themeShade="80"/>
          <w:sz w:val="20"/>
          <w:szCs w:val="20"/>
        </w:rPr>
        <w:t>The VWA</w:t>
      </w:r>
      <w:r w:rsidR="00F67874">
        <w:rPr>
          <w:rFonts w:ascii="Open Sans" w:hAnsi="Open Sans" w:cs="Open Sans"/>
          <w:color w:val="0F243E" w:themeColor="text2" w:themeShade="80"/>
          <w:sz w:val="20"/>
          <w:szCs w:val="20"/>
        </w:rPr>
        <w:t>LVP</w:t>
      </w:r>
      <w:r w:rsidRPr="00487989">
        <w:rPr>
          <w:rFonts w:ascii="Open Sans" w:hAnsi="Open Sans" w:cs="Open Sans"/>
          <w:color w:val="0F243E" w:themeColor="text2" w:themeShade="80"/>
          <w:sz w:val="20"/>
          <w:szCs w:val="20"/>
        </w:rPr>
        <w:t xml:space="preserve"> will meet four times a year.</w:t>
      </w:r>
    </w:p>
    <w:p w14:paraId="53CAD45E" w14:textId="77777777" w:rsidR="00F67874" w:rsidRDefault="00F67874" w:rsidP="008D65E4">
      <w:pPr>
        <w:pStyle w:val="NoSpacing"/>
        <w:spacing w:line="276" w:lineRule="auto"/>
        <w:jc w:val="both"/>
        <w:rPr>
          <w:rFonts w:ascii="Open Sans" w:hAnsi="Open Sans" w:cs="Open Sans"/>
          <w:b/>
          <w:i/>
          <w:sz w:val="20"/>
          <w:szCs w:val="20"/>
        </w:rPr>
      </w:pPr>
    </w:p>
    <w:p w14:paraId="5AFFE50F" w14:textId="77777777" w:rsidR="008D65E4" w:rsidRPr="008D65E4" w:rsidRDefault="008D65E4" w:rsidP="00B31CC9">
      <w:pPr>
        <w:pStyle w:val="NoSpacing"/>
        <w:spacing w:line="276" w:lineRule="auto"/>
        <w:jc w:val="both"/>
        <w:rPr>
          <w:rFonts w:ascii="Open Sans" w:hAnsi="Open Sans" w:cs="Open Sans"/>
          <w:b/>
          <w:i/>
          <w:sz w:val="20"/>
          <w:szCs w:val="20"/>
        </w:rPr>
      </w:pPr>
      <w:r w:rsidRPr="008D65E4">
        <w:rPr>
          <w:rFonts w:ascii="Open Sans" w:hAnsi="Open Sans" w:cs="Open Sans"/>
          <w:b/>
          <w:i/>
          <w:sz w:val="20"/>
          <w:szCs w:val="20"/>
        </w:rPr>
        <w:t>Appointment Process</w:t>
      </w:r>
    </w:p>
    <w:p w14:paraId="782B695F" w14:textId="16748161" w:rsidR="00B52EFC" w:rsidRDefault="00B52EFC" w:rsidP="00B31CC9">
      <w:pPr>
        <w:pStyle w:val="NoSpacing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An open selection process will be undertaken in November of each year for the VWALVP and nominations will be sought from all levels of the VWA membership and affiliation structure.</w:t>
      </w:r>
    </w:p>
    <w:p w14:paraId="347657F9" w14:textId="77777777" w:rsidR="00B52EFC" w:rsidRDefault="00B52EFC" w:rsidP="00B31CC9">
      <w:pPr>
        <w:pStyle w:val="NoSpacing"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4BC232A0" w14:textId="7C926326" w:rsidR="008D65E4" w:rsidRPr="008D65E4" w:rsidRDefault="008D65E4" w:rsidP="00B31CC9">
      <w:pPr>
        <w:pStyle w:val="NoSpacing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8D65E4">
        <w:rPr>
          <w:rFonts w:ascii="Open Sans" w:hAnsi="Open Sans" w:cs="Open Sans"/>
          <w:sz w:val="20"/>
          <w:szCs w:val="20"/>
        </w:rPr>
        <w:t>If VWA does not receive nominations for all positions on the VWA</w:t>
      </w:r>
      <w:r w:rsidR="00F67874">
        <w:rPr>
          <w:rFonts w:ascii="Open Sans" w:hAnsi="Open Sans" w:cs="Open Sans"/>
          <w:sz w:val="20"/>
          <w:szCs w:val="20"/>
        </w:rPr>
        <w:t>LVP</w:t>
      </w:r>
      <w:r w:rsidRPr="008D65E4">
        <w:rPr>
          <w:rFonts w:ascii="Open Sans" w:hAnsi="Open Sans" w:cs="Open Sans"/>
          <w:sz w:val="20"/>
          <w:szCs w:val="20"/>
        </w:rPr>
        <w:t xml:space="preserve"> then the role of the</w:t>
      </w:r>
      <w:r w:rsidR="00B31CC9">
        <w:rPr>
          <w:rFonts w:ascii="Open Sans" w:hAnsi="Open Sans" w:cs="Open Sans"/>
          <w:sz w:val="20"/>
          <w:szCs w:val="20"/>
        </w:rPr>
        <w:t xml:space="preserve"> Panel</w:t>
      </w:r>
      <w:r w:rsidRPr="008D65E4">
        <w:rPr>
          <w:rFonts w:ascii="Open Sans" w:hAnsi="Open Sans" w:cs="Open Sans"/>
          <w:sz w:val="20"/>
          <w:szCs w:val="20"/>
        </w:rPr>
        <w:t xml:space="preserve"> will be to identify possible other candidates.  It will then be the responsibility of the VWA Executive Officer to approach them in regards to joining the VWA</w:t>
      </w:r>
      <w:r w:rsidR="00F67874">
        <w:rPr>
          <w:rFonts w:ascii="Open Sans" w:hAnsi="Open Sans" w:cs="Open Sans"/>
          <w:sz w:val="20"/>
          <w:szCs w:val="20"/>
        </w:rPr>
        <w:t>LVP</w:t>
      </w:r>
      <w:r w:rsidRPr="008D65E4">
        <w:rPr>
          <w:rFonts w:ascii="Open Sans" w:hAnsi="Open Sans" w:cs="Open Sans"/>
          <w:sz w:val="20"/>
          <w:szCs w:val="20"/>
        </w:rPr>
        <w:t>.</w:t>
      </w:r>
    </w:p>
    <w:p w14:paraId="741CFFE9" w14:textId="77777777" w:rsidR="008D65E4" w:rsidRPr="008D65E4" w:rsidRDefault="008D65E4" w:rsidP="00B31CC9">
      <w:pPr>
        <w:pStyle w:val="NoSpacing"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17927B0B" w14:textId="2D80AAB1" w:rsidR="008D65E4" w:rsidRPr="008D65E4" w:rsidRDefault="008D65E4" w:rsidP="00B31CC9">
      <w:pPr>
        <w:pStyle w:val="NoSpacing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8D65E4">
        <w:rPr>
          <w:rFonts w:ascii="Open Sans" w:hAnsi="Open Sans" w:cs="Open Sans"/>
          <w:sz w:val="20"/>
          <w:szCs w:val="20"/>
        </w:rPr>
        <w:t xml:space="preserve">Conversely if there are more nominations than available on the </w:t>
      </w:r>
      <w:r w:rsidR="00B31CC9">
        <w:rPr>
          <w:rFonts w:ascii="Open Sans" w:hAnsi="Open Sans" w:cs="Open Sans"/>
          <w:sz w:val="20"/>
          <w:szCs w:val="20"/>
        </w:rPr>
        <w:t>Panel</w:t>
      </w:r>
      <w:r w:rsidRPr="008D65E4">
        <w:rPr>
          <w:rFonts w:ascii="Open Sans" w:hAnsi="Open Sans" w:cs="Open Sans"/>
          <w:sz w:val="20"/>
          <w:szCs w:val="20"/>
        </w:rPr>
        <w:t xml:space="preserve"> the following positions shall be responsible for the selection </w:t>
      </w:r>
      <w:r w:rsidR="00B31CC9">
        <w:rPr>
          <w:rFonts w:ascii="Open Sans" w:hAnsi="Open Sans" w:cs="Open Sans"/>
          <w:sz w:val="20"/>
          <w:szCs w:val="20"/>
        </w:rPr>
        <w:t>proces</w:t>
      </w:r>
      <w:r w:rsidRPr="008D65E4">
        <w:rPr>
          <w:rFonts w:ascii="Open Sans" w:hAnsi="Open Sans" w:cs="Open Sans"/>
          <w:sz w:val="20"/>
          <w:szCs w:val="20"/>
        </w:rPr>
        <w:t>s;</w:t>
      </w:r>
    </w:p>
    <w:p w14:paraId="24E3E5F2" w14:textId="01556EFA" w:rsidR="008D65E4" w:rsidRDefault="00B31CC9" w:rsidP="00B31CC9">
      <w:pPr>
        <w:pStyle w:val="NoSpacing"/>
        <w:numPr>
          <w:ilvl w:val="0"/>
          <w:numId w:val="5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VWA Operations and Support Manager</w:t>
      </w:r>
    </w:p>
    <w:p w14:paraId="5C3F70C2" w14:textId="1CF3EB03" w:rsidR="00B31CC9" w:rsidRDefault="00B31CC9" w:rsidP="00B31CC9">
      <w:pPr>
        <w:pStyle w:val="NoSpacing"/>
        <w:numPr>
          <w:ilvl w:val="0"/>
          <w:numId w:val="5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VWA Communications and Marketing Coordinator</w:t>
      </w:r>
    </w:p>
    <w:p w14:paraId="458F13B5" w14:textId="548B9261" w:rsidR="00B31CC9" w:rsidRPr="008D65E4" w:rsidRDefault="00B31CC9" w:rsidP="00B31CC9">
      <w:pPr>
        <w:pStyle w:val="NoSpacing"/>
        <w:numPr>
          <w:ilvl w:val="0"/>
          <w:numId w:val="5"/>
        </w:numPr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VWA Club &amp; Workforce Development Coordinator</w:t>
      </w:r>
    </w:p>
    <w:p w14:paraId="55F94250" w14:textId="77777777" w:rsidR="008D65E4" w:rsidRPr="008D65E4" w:rsidRDefault="008D65E4" w:rsidP="00B31CC9">
      <w:pPr>
        <w:pStyle w:val="NoSpacing"/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49098D2D" w14:textId="77777777" w:rsidR="00B31CC9" w:rsidRDefault="00B31CC9" w:rsidP="00B31CC9">
      <w:pPr>
        <w:pStyle w:val="NoSpacing"/>
        <w:spacing w:line="276" w:lineRule="auto"/>
        <w:jc w:val="both"/>
        <w:rPr>
          <w:rFonts w:ascii="Open Sans" w:hAnsi="Open Sans" w:cs="Open Sans"/>
          <w:sz w:val="20"/>
          <w:szCs w:val="20"/>
        </w:rPr>
      </w:pPr>
      <w:r w:rsidRPr="008D65E4">
        <w:rPr>
          <w:rFonts w:ascii="Open Sans" w:hAnsi="Open Sans" w:cs="Open Sans"/>
          <w:sz w:val="20"/>
          <w:szCs w:val="20"/>
        </w:rPr>
        <w:t>The term of appointment for VWA</w:t>
      </w:r>
      <w:r>
        <w:rPr>
          <w:rFonts w:ascii="Open Sans" w:hAnsi="Open Sans" w:cs="Open Sans"/>
          <w:sz w:val="20"/>
          <w:szCs w:val="20"/>
        </w:rPr>
        <w:t>LVP</w:t>
      </w:r>
      <w:r w:rsidRPr="008D65E4">
        <w:rPr>
          <w:rFonts w:ascii="Open Sans" w:hAnsi="Open Sans" w:cs="Open Sans"/>
          <w:sz w:val="20"/>
          <w:szCs w:val="20"/>
        </w:rPr>
        <w:t xml:space="preserve"> will be 12 months.  </w:t>
      </w:r>
      <w:r>
        <w:rPr>
          <w:rFonts w:ascii="Open Sans" w:hAnsi="Open Sans" w:cs="Open Sans"/>
          <w:sz w:val="20"/>
          <w:szCs w:val="20"/>
        </w:rPr>
        <w:t>Members can apply to remain on the Panel as mentors.</w:t>
      </w:r>
    </w:p>
    <w:p w14:paraId="13F4F3DA" w14:textId="1CE26895" w:rsidR="006C45F9" w:rsidRDefault="006C45F9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14:paraId="6FFD92AE" w14:textId="77777777" w:rsidR="006C45F9" w:rsidRDefault="006C45F9">
      <w:pPr>
        <w:spacing w:line="276" w:lineRule="auto"/>
        <w:jc w:val="both"/>
        <w:rPr>
          <w:rFonts w:ascii="Open Sans" w:hAnsi="Open Sans" w:cs="Open Sans"/>
          <w:sz w:val="20"/>
          <w:szCs w:val="20"/>
        </w:rPr>
        <w:sectPr w:rsidR="006C45F9" w:rsidSect="00CB0A79">
          <w:type w:val="continuous"/>
          <w:pgSz w:w="11900" w:h="16840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5050B708" w14:textId="5D6F277F" w:rsidR="006C45F9" w:rsidRPr="00487989" w:rsidRDefault="006C45F9" w:rsidP="006C45F9">
      <w:pPr>
        <w:spacing w:line="276" w:lineRule="auto"/>
        <w:jc w:val="center"/>
        <w:rPr>
          <w:rFonts w:ascii="Open Sans" w:hAnsi="Open Sans" w:cs="Open Sans"/>
          <w:b/>
          <w:color w:val="0F243E" w:themeColor="text2" w:themeShade="80"/>
          <w:sz w:val="36"/>
          <w:szCs w:val="20"/>
        </w:rPr>
      </w:pPr>
      <w:r w:rsidRPr="00487989">
        <w:rPr>
          <w:rFonts w:ascii="Open Sans" w:hAnsi="Open Sans" w:cs="Open Sans"/>
          <w:b/>
          <w:color w:val="0F243E" w:themeColor="text2" w:themeShade="80"/>
          <w:sz w:val="36"/>
          <w:szCs w:val="20"/>
        </w:rPr>
        <w:lastRenderedPageBreak/>
        <w:t xml:space="preserve">Appendix </w:t>
      </w:r>
      <w:r>
        <w:rPr>
          <w:rFonts w:ascii="Open Sans" w:hAnsi="Open Sans" w:cs="Open Sans"/>
          <w:b/>
          <w:color w:val="0F243E" w:themeColor="text2" w:themeShade="80"/>
          <w:sz w:val="36"/>
          <w:szCs w:val="20"/>
        </w:rPr>
        <w:t>2</w:t>
      </w:r>
      <w:r w:rsidRPr="00487989">
        <w:rPr>
          <w:rFonts w:ascii="Open Sans" w:hAnsi="Open Sans" w:cs="Open Sans"/>
          <w:b/>
          <w:color w:val="0F243E" w:themeColor="text2" w:themeShade="80"/>
          <w:sz w:val="36"/>
          <w:szCs w:val="20"/>
        </w:rPr>
        <w:t xml:space="preserve"> – </w:t>
      </w:r>
      <w:r>
        <w:rPr>
          <w:rFonts w:ascii="Open Sans" w:hAnsi="Open Sans" w:cs="Open Sans"/>
          <w:b/>
          <w:color w:val="0F243E" w:themeColor="text2" w:themeShade="80"/>
          <w:sz w:val="36"/>
          <w:szCs w:val="20"/>
        </w:rPr>
        <w:t>Risk Register</w:t>
      </w:r>
    </w:p>
    <w:p w14:paraId="34D2CF88" w14:textId="16705F1D" w:rsidR="008D65E4" w:rsidRDefault="008D65E4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p w14:paraId="3528573C" w14:textId="77777777" w:rsidR="006C45F9" w:rsidRDefault="006C45F9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tbl>
      <w:tblPr>
        <w:tblW w:w="138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5636"/>
        <w:gridCol w:w="1593"/>
        <w:gridCol w:w="1242"/>
        <w:gridCol w:w="1134"/>
        <w:gridCol w:w="1134"/>
      </w:tblGrid>
      <w:tr w:rsidR="006C45F9" w:rsidRPr="006C45F9" w14:paraId="7B94CF28" w14:textId="77777777" w:rsidTr="006C45F9">
        <w:trPr>
          <w:trHeight w:val="417"/>
        </w:trPr>
        <w:tc>
          <w:tcPr>
            <w:tcW w:w="851" w:type="dxa"/>
            <w:v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0F243E" w:themeFill="text2" w:themeFillShade="80"/>
            <w:vAlign w:val="center"/>
          </w:tcPr>
          <w:p w14:paraId="6E4E3BC5" w14:textId="77777777" w:rsidR="006C45F9" w:rsidRPr="006C45F9" w:rsidRDefault="006C45F9" w:rsidP="006C45F9">
            <w:pPr>
              <w:spacing w:line="276" w:lineRule="auto"/>
              <w:jc w:val="center"/>
              <w:rPr>
                <w:rFonts w:ascii="Open Sans" w:hAnsi="Open Sans" w:cs="Open Sans"/>
                <w:bCs/>
                <w:color w:val="FFFFFF" w:themeColor="background1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bCs/>
                <w:color w:val="FFFFFF" w:themeColor="background1"/>
                <w:sz w:val="20"/>
                <w:szCs w:val="20"/>
              </w:rPr>
              <w:t>Risk Ref</w:t>
            </w:r>
          </w:p>
        </w:tc>
        <w:tc>
          <w:tcPr>
            <w:tcW w:w="2268" w:type="dxa"/>
            <w:v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0F243E" w:themeFill="text2" w:themeFillShade="80"/>
            <w:vAlign w:val="center"/>
          </w:tcPr>
          <w:p w14:paraId="4A57F5AB" w14:textId="77777777" w:rsidR="006C45F9" w:rsidRPr="006C45F9" w:rsidRDefault="006C45F9" w:rsidP="006C45F9">
            <w:pPr>
              <w:spacing w:line="276" w:lineRule="auto"/>
              <w:jc w:val="center"/>
              <w:rPr>
                <w:rFonts w:ascii="Open Sans" w:hAnsi="Open Sans" w:cs="Open Sans"/>
                <w:bCs/>
                <w:color w:val="FFFFFF" w:themeColor="background1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bCs/>
                <w:color w:val="FFFFFF" w:themeColor="background1"/>
                <w:sz w:val="20"/>
                <w:szCs w:val="20"/>
              </w:rPr>
              <w:t>Risk</w:t>
            </w:r>
          </w:p>
        </w:tc>
        <w:tc>
          <w:tcPr>
            <w:tcW w:w="563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0F243E" w:themeFill="text2" w:themeFillShade="80"/>
          </w:tcPr>
          <w:p w14:paraId="2B7879C3" w14:textId="77777777" w:rsidR="006C45F9" w:rsidRPr="006C45F9" w:rsidRDefault="006C45F9" w:rsidP="006C45F9">
            <w:pPr>
              <w:spacing w:line="276" w:lineRule="auto"/>
              <w:jc w:val="center"/>
              <w:rPr>
                <w:rFonts w:ascii="Open Sans" w:hAnsi="Open Sans" w:cs="Open Sans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F243E" w:themeFill="text2" w:themeFillShade="80"/>
            <w:vAlign w:val="center"/>
          </w:tcPr>
          <w:p w14:paraId="47E4031C" w14:textId="77777777" w:rsidR="006C45F9" w:rsidRPr="006C45F9" w:rsidRDefault="006C45F9" w:rsidP="006C45F9">
            <w:pPr>
              <w:spacing w:line="276" w:lineRule="auto"/>
              <w:jc w:val="center"/>
              <w:rPr>
                <w:rFonts w:ascii="Open Sans" w:hAnsi="Open Sans" w:cs="Open Sans"/>
                <w:bCs/>
                <w:color w:val="FFFFFF" w:themeColor="background1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bCs/>
                <w:color w:val="FFFFFF" w:themeColor="background1"/>
                <w:sz w:val="20"/>
                <w:szCs w:val="20"/>
              </w:rPr>
              <w:t>Risk Assessment</w:t>
            </w:r>
          </w:p>
        </w:tc>
        <w:tc>
          <w:tcPr>
            <w:tcW w:w="1134" w:type="dxa"/>
            <w:vMerge w:val="restart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solid" w:color="000000" w:fill="FFFFFF"/>
            <w:vAlign w:val="center"/>
          </w:tcPr>
          <w:p w14:paraId="115817C6" w14:textId="77777777" w:rsidR="006C45F9" w:rsidRPr="006C45F9" w:rsidRDefault="006C45F9" w:rsidP="006C45F9">
            <w:pPr>
              <w:spacing w:line="276" w:lineRule="auto"/>
              <w:jc w:val="center"/>
              <w:rPr>
                <w:rFonts w:ascii="Open Sans" w:hAnsi="Open Sans" w:cs="Open Sans"/>
                <w:bCs/>
                <w:color w:val="FFFFFF" w:themeColor="background1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bCs/>
                <w:color w:val="FFFFFF" w:themeColor="background1"/>
                <w:sz w:val="20"/>
                <w:szCs w:val="20"/>
              </w:rPr>
              <w:t>Risk Owner</w:t>
            </w:r>
          </w:p>
        </w:tc>
      </w:tr>
      <w:tr w:rsidR="006C45F9" w:rsidRPr="006C45F9" w14:paraId="61A005DB" w14:textId="77777777" w:rsidTr="006C45F9">
        <w:trPr>
          <w:trHeight w:val="334"/>
        </w:trPr>
        <w:tc>
          <w:tcPr>
            <w:tcW w:w="851" w:type="dxa"/>
            <w:vMerge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0000" w:fill="FFFFFF"/>
          </w:tcPr>
          <w:p w14:paraId="16DC35A2" w14:textId="77777777" w:rsidR="006C45F9" w:rsidRPr="006C45F9" w:rsidRDefault="006C45F9" w:rsidP="006C45F9">
            <w:pPr>
              <w:spacing w:line="276" w:lineRule="auto"/>
              <w:jc w:val="center"/>
              <w:rPr>
                <w:rFonts w:ascii="Open Sans" w:hAnsi="Open Sans" w:cs="Open Sans"/>
                <w:bCs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0000" w:fill="FFFFFF"/>
          </w:tcPr>
          <w:p w14:paraId="19024452" w14:textId="77777777" w:rsidR="006C45F9" w:rsidRPr="006C45F9" w:rsidRDefault="006C45F9" w:rsidP="006C45F9">
            <w:pPr>
              <w:spacing w:line="276" w:lineRule="auto"/>
              <w:jc w:val="center"/>
              <w:rPr>
                <w:rFonts w:ascii="Open Sans" w:hAnsi="Open Sans" w:cs="Open Sans"/>
                <w:bCs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5636" w:type="dxa"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0000" w:fill="FFFFFF"/>
          </w:tcPr>
          <w:p w14:paraId="0703C7AC" w14:textId="77777777" w:rsidR="006C45F9" w:rsidRPr="006C45F9" w:rsidRDefault="006C45F9" w:rsidP="006C45F9">
            <w:pPr>
              <w:spacing w:line="276" w:lineRule="auto"/>
              <w:jc w:val="center"/>
              <w:rPr>
                <w:rFonts w:ascii="Open Sans" w:hAnsi="Open Sans" w:cs="Open Sans"/>
                <w:bCs/>
                <w:color w:val="FFFFFF" w:themeColor="background1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bCs/>
                <w:color w:val="FFFFFF" w:themeColor="background1"/>
                <w:sz w:val="20"/>
                <w:szCs w:val="20"/>
              </w:rPr>
              <w:t>Controls</w:t>
            </w:r>
          </w:p>
        </w:tc>
        <w:tc>
          <w:tcPr>
            <w:tcW w:w="15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0000" w:fill="FFFFFF"/>
            <w:vAlign w:val="center"/>
          </w:tcPr>
          <w:p w14:paraId="370FC8B5" w14:textId="77777777" w:rsidR="006C45F9" w:rsidRPr="006C45F9" w:rsidRDefault="006C45F9" w:rsidP="006C45F9">
            <w:pPr>
              <w:spacing w:line="276" w:lineRule="auto"/>
              <w:jc w:val="center"/>
              <w:rPr>
                <w:rFonts w:ascii="Open Sans" w:hAnsi="Open Sans" w:cs="Open Sans"/>
                <w:bCs/>
                <w:color w:val="FFFFFF" w:themeColor="background1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bCs/>
                <w:color w:val="FFFFFF" w:themeColor="background1"/>
                <w:sz w:val="20"/>
                <w:szCs w:val="20"/>
              </w:rPr>
              <w:t>Consequence Rating</w:t>
            </w:r>
          </w:p>
        </w:tc>
        <w:tc>
          <w:tcPr>
            <w:tcW w:w="124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0000" w:fill="FFFFFF"/>
            <w:vAlign w:val="center"/>
          </w:tcPr>
          <w:p w14:paraId="73939C92" w14:textId="77777777" w:rsidR="006C45F9" w:rsidRPr="006C45F9" w:rsidRDefault="006C45F9" w:rsidP="006C45F9">
            <w:pPr>
              <w:spacing w:line="276" w:lineRule="auto"/>
              <w:jc w:val="center"/>
              <w:rPr>
                <w:rFonts w:ascii="Open Sans" w:hAnsi="Open Sans" w:cs="Open Sans"/>
                <w:bCs/>
                <w:color w:val="FFFFFF" w:themeColor="background1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bCs/>
                <w:color w:val="FFFFFF" w:themeColor="background1"/>
                <w:sz w:val="20"/>
                <w:szCs w:val="20"/>
              </w:rPr>
              <w:t>Likelihood Rating</w:t>
            </w:r>
          </w:p>
        </w:tc>
        <w:tc>
          <w:tcPr>
            <w:tcW w:w="113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0000" w:fill="FFFFFF"/>
            <w:vAlign w:val="center"/>
          </w:tcPr>
          <w:p w14:paraId="00EA7E8F" w14:textId="77777777" w:rsidR="006C45F9" w:rsidRPr="006C45F9" w:rsidRDefault="006C45F9" w:rsidP="006C45F9">
            <w:pPr>
              <w:spacing w:line="276" w:lineRule="auto"/>
              <w:jc w:val="center"/>
              <w:rPr>
                <w:rFonts w:ascii="Open Sans" w:hAnsi="Open Sans" w:cs="Open Sans"/>
                <w:bCs/>
                <w:color w:val="FFFFFF" w:themeColor="background1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bCs/>
                <w:color w:val="FFFFFF" w:themeColor="background1"/>
                <w:sz w:val="20"/>
                <w:szCs w:val="20"/>
              </w:rPr>
              <w:t>Risk Rating</w:t>
            </w:r>
          </w:p>
        </w:tc>
        <w:tc>
          <w:tcPr>
            <w:tcW w:w="1134" w:type="dxa"/>
            <w:vMerge/>
            <w:tcBorders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000000" w:fill="FFFFFF"/>
          </w:tcPr>
          <w:p w14:paraId="3F05EE9E" w14:textId="77777777" w:rsidR="006C45F9" w:rsidRPr="006C45F9" w:rsidRDefault="006C45F9" w:rsidP="006C45F9">
            <w:pPr>
              <w:spacing w:line="276" w:lineRule="auto"/>
              <w:jc w:val="center"/>
              <w:rPr>
                <w:rFonts w:ascii="Open Sans" w:hAnsi="Open Sans" w:cs="Open Sans"/>
                <w:bCs/>
                <w:color w:val="0F243E" w:themeColor="text2" w:themeShade="80"/>
                <w:sz w:val="20"/>
                <w:szCs w:val="20"/>
              </w:rPr>
            </w:pPr>
          </w:p>
        </w:tc>
      </w:tr>
      <w:tr w:rsidR="006C45F9" w:rsidRPr="006C45F9" w14:paraId="03349D99" w14:textId="77777777" w:rsidTr="006C45F9">
        <w:trPr>
          <w:trHeight w:val="340"/>
        </w:trPr>
        <w:tc>
          <w:tcPr>
            <w:tcW w:w="851" w:type="dxa"/>
            <w:tcBorders>
              <w:top w:val="single" w:sz="6" w:space="0" w:color="FFFFFF"/>
              <w:bottom w:val="single" w:sz="6" w:space="0" w:color="000000"/>
            </w:tcBorders>
            <w:shd w:val="clear" w:color="auto" w:fill="auto"/>
          </w:tcPr>
          <w:p w14:paraId="530D7B6C" w14:textId="7B0E5F49" w:rsidR="006C45F9" w:rsidRPr="006C45F9" w:rsidRDefault="006C45F9" w:rsidP="006C45F9">
            <w:pPr>
              <w:spacing w:line="276" w:lineRule="auto"/>
              <w:jc w:val="both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TBC</w:t>
            </w:r>
          </w:p>
        </w:tc>
        <w:tc>
          <w:tcPr>
            <w:tcW w:w="2268" w:type="dxa"/>
            <w:tcBorders>
              <w:top w:val="single" w:sz="6" w:space="0" w:color="FFFFFF"/>
              <w:bottom w:val="single" w:sz="6" w:space="0" w:color="000000"/>
            </w:tcBorders>
            <w:shd w:val="clear" w:color="auto" w:fill="auto"/>
          </w:tcPr>
          <w:p w14:paraId="4744C868" w14:textId="77777777" w:rsidR="006C45F9" w:rsidRPr="006C45F9" w:rsidRDefault="006C45F9" w:rsidP="006C45F9">
            <w:pPr>
              <w:spacing w:line="276" w:lineRule="auto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Lack of planning and strategic purpose for panel</w:t>
            </w:r>
          </w:p>
        </w:tc>
        <w:tc>
          <w:tcPr>
            <w:tcW w:w="5636" w:type="dxa"/>
            <w:tcBorders>
              <w:top w:val="single" w:sz="6" w:space="0" w:color="FFFFFF"/>
              <w:bottom w:val="single" w:sz="6" w:space="0" w:color="000000"/>
            </w:tcBorders>
          </w:tcPr>
          <w:p w14:paraId="34C92662" w14:textId="77777777" w:rsidR="006C45F9" w:rsidRPr="006C45F9" w:rsidRDefault="006C45F9" w:rsidP="006C45F9">
            <w:pPr>
              <w:numPr>
                <w:ilvl w:val="0"/>
                <w:numId w:val="9"/>
              </w:numPr>
              <w:spacing w:line="276" w:lineRule="auto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Volley Lead integrated into Discover Volleyball Campaign</w:t>
            </w:r>
          </w:p>
          <w:p w14:paraId="23D246F5" w14:textId="77777777" w:rsidR="006C45F9" w:rsidRPr="006C45F9" w:rsidRDefault="006C45F9" w:rsidP="006C45F9">
            <w:pPr>
              <w:numPr>
                <w:ilvl w:val="0"/>
                <w:numId w:val="9"/>
              </w:numPr>
              <w:spacing w:line="276" w:lineRule="auto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Report presented to Board highlighting strategic objectives</w:t>
            </w:r>
          </w:p>
          <w:p w14:paraId="54F8F82C" w14:textId="77777777" w:rsidR="006C45F9" w:rsidRPr="006C45F9" w:rsidRDefault="006C45F9" w:rsidP="006C45F9">
            <w:pPr>
              <w:numPr>
                <w:ilvl w:val="0"/>
                <w:numId w:val="9"/>
              </w:numPr>
              <w:spacing w:line="276" w:lineRule="auto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Volley Lead added to FTEM pathway</w:t>
            </w:r>
          </w:p>
        </w:tc>
        <w:tc>
          <w:tcPr>
            <w:tcW w:w="1593" w:type="dxa"/>
            <w:tcBorders>
              <w:top w:val="single" w:sz="6" w:space="0" w:color="FFFFFF"/>
              <w:bottom w:val="single" w:sz="6" w:space="0" w:color="000000"/>
            </w:tcBorders>
            <w:vAlign w:val="center"/>
          </w:tcPr>
          <w:p w14:paraId="6E55A1A6" w14:textId="77777777" w:rsidR="006C45F9" w:rsidRPr="006C45F9" w:rsidRDefault="006C45F9" w:rsidP="006C45F9">
            <w:pPr>
              <w:spacing w:line="276" w:lineRule="auto"/>
              <w:jc w:val="center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6" w:space="0" w:color="FFFFFF"/>
              <w:bottom w:val="single" w:sz="6" w:space="0" w:color="000000"/>
            </w:tcBorders>
            <w:vAlign w:val="center"/>
          </w:tcPr>
          <w:p w14:paraId="66274C32" w14:textId="77777777" w:rsidR="006C45F9" w:rsidRPr="006C45F9" w:rsidRDefault="006C45F9" w:rsidP="006C45F9">
            <w:pPr>
              <w:spacing w:line="276" w:lineRule="auto"/>
              <w:jc w:val="center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FFFFFF"/>
              <w:bottom w:val="single" w:sz="6" w:space="0" w:color="000000"/>
            </w:tcBorders>
            <w:shd w:val="clear" w:color="auto" w:fill="auto"/>
            <w:vAlign w:val="center"/>
          </w:tcPr>
          <w:p w14:paraId="0CA313C7" w14:textId="77777777" w:rsidR="006C45F9" w:rsidRPr="006C45F9" w:rsidRDefault="006C45F9" w:rsidP="006C45F9">
            <w:pPr>
              <w:spacing w:line="276" w:lineRule="auto"/>
              <w:jc w:val="center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2</w:t>
            </w:r>
          </w:p>
          <w:p w14:paraId="673A6533" w14:textId="77777777" w:rsidR="006C45F9" w:rsidRPr="006C45F9" w:rsidRDefault="006C45F9" w:rsidP="006C45F9">
            <w:pPr>
              <w:spacing w:line="276" w:lineRule="auto"/>
              <w:jc w:val="center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Very low</w:t>
            </w:r>
          </w:p>
        </w:tc>
        <w:tc>
          <w:tcPr>
            <w:tcW w:w="1134" w:type="dxa"/>
            <w:tcBorders>
              <w:top w:val="single" w:sz="6" w:space="0" w:color="FFFFFF"/>
              <w:bottom w:val="single" w:sz="6" w:space="0" w:color="000000"/>
            </w:tcBorders>
            <w:vAlign w:val="center"/>
          </w:tcPr>
          <w:p w14:paraId="4649404D" w14:textId="77777777" w:rsidR="006C45F9" w:rsidRPr="006C45F9" w:rsidRDefault="006C45F9" w:rsidP="006C45F9">
            <w:pPr>
              <w:spacing w:line="276" w:lineRule="auto"/>
              <w:jc w:val="center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OSM</w:t>
            </w:r>
          </w:p>
        </w:tc>
      </w:tr>
      <w:tr w:rsidR="006C45F9" w:rsidRPr="006C45F9" w14:paraId="665F6F08" w14:textId="77777777" w:rsidTr="006C45F9">
        <w:trPr>
          <w:trHeight w:val="340"/>
        </w:trPr>
        <w:tc>
          <w:tcPr>
            <w:tcW w:w="851" w:type="dxa"/>
            <w:tcBorders>
              <w:top w:val="single" w:sz="6" w:space="0" w:color="000000"/>
            </w:tcBorders>
            <w:shd w:val="clear" w:color="auto" w:fill="auto"/>
          </w:tcPr>
          <w:p w14:paraId="148E9EF9" w14:textId="4E4B0175" w:rsidR="006C45F9" w:rsidRPr="006C45F9" w:rsidRDefault="006C45F9" w:rsidP="006C45F9">
            <w:pPr>
              <w:spacing w:line="276" w:lineRule="auto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TBC</w:t>
            </w:r>
          </w:p>
        </w:tc>
        <w:tc>
          <w:tcPr>
            <w:tcW w:w="2268" w:type="dxa"/>
            <w:tcBorders>
              <w:top w:val="single" w:sz="6" w:space="0" w:color="000000"/>
            </w:tcBorders>
            <w:shd w:val="clear" w:color="auto" w:fill="auto"/>
          </w:tcPr>
          <w:p w14:paraId="3E756644" w14:textId="77777777" w:rsidR="006C45F9" w:rsidRPr="006C45F9" w:rsidRDefault="006C45F9" w:rsidP="006C45F9">
            <w:pPr>
              <w:spacing w:line="276" w:lineRule="auto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No lead officer within the Association</w:t>
            </w:r>
          </w:p>
        </w:tc>
        <w:tc>
          <w:tcPr>
            <w:tcW w:w="5636" w:type="dxa"/>
            <w:tcBorders>
              <w:top w:val="single" w:sz="6" w:space="0" w:color="000000"/>
              <w:bottom w:val="single" w:sz="6" w:space="0" w:color="000000"/>
            </w:tcBorders>
          </w:tcPr>
          <w:p w14:paraId="38E104D6" w14:textId="4BDB6A91" w:rsidR="006C45F9" w:rsidRPr="006C45F9" w:rsidRDefault="006C45F9" w:rsidP="006C45F9">
            <w:pPr>
              <w:numPr>
                <w:ilvl w:val="0"/>
                <w:numId w:val="10"/>
              </w:numPr>
              <w:spacing w:line="276" w:lineRule="auto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C</w:t>
            </w:r>
            <w:r w:rsidR="00C04431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M</w:t>
            </w: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C</w:t>
            </w:r>
            <w:r w:rsidR="00F80EDD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 xml:space="preserve"> &amp; CWDC</w:t>
            </w: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 xml:space="preserve"> identified as lead</w:t>
            </w:r>
            <w:r w:rsidR="00F80EDD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s</w:t>
            </w:r>
          </w:p>
          <w:p w14:paraId="2B83602F" w14:textId="17735D1B" w:rsidR="006C45F9" w:rsidRPr="006C45F9" w:rsidRDefault="006C45F9" w:rsidP="00F80EDD">
            <w:pPr>
              <w:numPr>
                <w:ilvl w:val="0"/>
                <w:numId w:val="10"/>
              </w:numPr>
              <w:spacing w:line="276" w:lineRule="auto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 xml:space="preserve">STC </w:t>
            </w:r>
            <w:r w:rsidR="00C04431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to act</w:t>
            </w:r>
            <w:r w:rsidR="00F80EDD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 xml:space="preserve"> as assistant</w:t>
            </w:r>
          </w:p>
        </w:tc>
        <w:tc>
          <w:tcPr>
            <w:tcW w:w="1593" w:type="dxa"/>
            <w:tcBorders>
              <w:top w:val="single" w:sz="6" w:space="0" w:color="000000"/>
            </w:tcBorders>
            <w:vAlign w:val="center"/>
          </w:tcPr>
          <w:p w14:paraId="6A0DA7C4" w14:textId="77777777" w:rsidR="006C45F9" w:rsidRPr="006C45F9" w:rsidRDefault="006C45F9" w:rsidP="006C45F9">
            <w:pPr>
              <w:spacing w:line="276" w:lineRule="auto"/>
              <w:jc w:val="center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6" w:space="0" w:color="000000"/>
            </w:tcBorders>
            <w:vAlign w:val="center"/>
          </w:tcPr>
          <w:p w14:paraId="28E9E8FD" w14:textId="77777777" w:rsidR="006C45F9" w:rsidRPr="006C45F9" w:rsidRDefault="006C45F9" w:rsidP="006C45F9">
            <w:pPr>
              <w:spacing w:line="276" w:lineRule="auto"/>
              <w:jc w:val="center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309C0322" w14:textId="77777777" w:rsidR="006C45F9" w:rsidRPr="006C45F9" w:rsidRDefault="006C45F9" w:rsidP="006C45F9">
            <w:pPr>
              <w:spacing w:line="276" w:lineRule="auto"/>
              <w:jc w:val="center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2</w:t>
            </w:r>
          </w:p>
          <w:p w14:paraId="6C31054B" w14:textId="77777777" w:rsidR="006C45F9" w:rsidRPr="006C45F9" w:rsidRDefault="006C45F9" w:rsidP="006C45F9">
            <w:pPr>
              <w:spacing w:line="276" w:lineRule="auto"/>
              <w:jc w:val="center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Very low</w:t>
            </w:r>
          </w:p>
        </w:tc>
        <w:tc>
          <w:tcPr>
            <w:tcW w:w="1134" w:type="dxa"/>
            <w:tcBorders>
              <w:top w:val="single" w:sz="6" w:space="0" w:color="000000"/>
            </w:tcBorders>
            <w:vAlign w:val="center"/>
          </w:tcPr>
          <w:p w14:paraId="2FA4F533" w14:textId="77777777" w:rsidR="006C45F9" w:rsidRPr="006C45F9" w:rsidRDefault="006C45F9" w:rsidP="006C45F9">
            <w:pPr>
              <w:spacing w:line="276" w:lineRule="auto"/>
              <w:jc w:val="center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OSM</w:t>
            </w:r>
          </w:p>
        </w:tc>
      </w:tr>
      <w:tr w:rsidR="006C45F9" w:rsidRPr="006C45F9" w14:paraId="2FA4C335" w14:textId="77777777" w:rsidTr="006C45F9">
        <w:trPr>
          <w:trHeight w:val="340"/>
        </w:trPr>
        <w:tc>
          <w:tcPr>
            <w:tcW w:w="851" w:type="dxa"/>
            <w:shd w:val="clear" w:color="auto" w:fill="auto"/>
          </w:tcPr>
          <w:p w14:paraId="76336703" w14:textId="2E83C018" w:rsidR="006C45F9" w:rsidRPr="006C45F9" w:rsidRDefault="006C45F9" w:rsidP="006C45F9">
            <w:pPr>
              <w:spacing w:line="276" w:lineRule="auto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TBC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D03C784" w14:textId="77777777" w:rsidR="006C45F9" w:rsidRPr="006C45F9" w:rsidRDefault="006C45F9" w:rsidP="006C45F9">
            <w:pPr>
              <w:spacing w:line="276" w:lineRule="auto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No interest from young leaders</w:t>
            </w:r>
          </w:p>
        </w:tc>
        <w:tc>
          <w:tcPr>
            <w:tcW w:w="5636" w:type="dxa"/>
            <w:tcBorders>
              <w:top w:val="single" w:sz="6" w:space="0" w:color="000000"/>
              <w:bottom w:val="single" w:sz="6" w:space="0" w:color="000000"/>
            </w:tcBorders>
          </w:tcPr>
          <w:p w14:paraId="0509DC50" w14:textId="77777777" w:rsidR="006C45F9" w:rsidRPr="006C45F9" w:rsidRDefault="006C45F9" w:rsidP="006C45F9">
            <w:pPr>
              <w:numPr>
                <w:ilvl w:val="0"/>
                <w:numId w:val="11"/>
              </w:numPr>
              <w:spacing w:line="276" w:lineRule="auto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Program promoted through all networks</w:t>
            </w:r>
          </w:p>
          <w:p w14:paraId="665595DE" w14:textId="77777777" w:rsidR="006C45F9" w:rsidRPr="006C45F9" w:rsidRDefault="006C45F9" w:rsidP="006C45F9">
            <w:pPr>
              <w:numPr>
                <w:ilvl w:val="0"/>
                <w:numId w:val="11"/>
              </w:numPr>
              <w:spacing w:line="276" w:lineRule="auto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Benefits promoted to leaders</w:t>
            </w:r>
          </w:p>
          <w:p w14:paraId="7C635750" w14:textId="77777777" w:rsidR="006C45F9" w:rsidRPr="006C45F9" w:rsidRDefault="006C45F9" w:rsidP="006C45F9">
            <w:pPr>
              <w:numPr>
                <w:ilvl w:val="0"/>
                <w:numId w:val="11"/>
              </w:numPr>
              <w:spacing w:line="276" w:lineRule="auto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Age groups changed if no interest</w:t>
            </w:r>
          </w:p>
          <w:p w14:paraId="0A1986F6" w14:textId="77777777" w:rsidR="006C45F9" w:rsidRPr="006C45F9" w:rsidRDefault="006C45F9" w:rsidP="006C45F9">
            <w:pPr>
              <w:numPr>
                <w:ilvl w:val="0"/>
                <w:numId w:val="11"/>
              </w:numPr>
              <w:spacing w:line="276" w:lineRule="auto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Limited investment until panel has commenced</w:t>
            </w: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05B3841" w14:textId="77777777" w:rsidR="006C45F9" w:rsidRPr="006C45F9" w:rsidRDefault="006C45F9" w:rsidP="006C45F9">
            <w:pPr>
              <w:spacing w:line="276" w:lineRule="auto"/>
              <w:jc w:val="center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689C186" w14:textId="77777777" w:rsidR="006C45F9" w:rsidRPr="006C45F9" w:rsidRDefault="006C45F9" w:rsidP="006C45F9">
            <w:pPr>
              <w:spacing w:line="276" w:lineRule="auto"/>
              <w:jc w:val="center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D1F617" w14:textId="77777777" w:rsidR="006C45F9" w:rsidRPr="006C45F9" w:rsidRDefault="006C45F9" w:rsidP="006C45F9">
            <w:pPr>
              <w:spacing w:line="276" w:lineRule="auto"/>
              <w:jc w:val="center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3</w:t>
            </w:r>
          </w:p>
          <w:p w14:paraId="3ADAA3FA" w14:textId="77777777" w:rsidR="006C45F9" w:rsidRPr="006C45F9" w:rsidRDefault="006C45F9" w:rsidP="006C45F9">
            <w:pPr>
              <w:spacing w:line="276" w:lineRule="auto"/>
              <w:jc w:val="center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Very low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0D17C91" w14:textId="3FC789B5" w:rsidR="006C45F9" w:rsidRPr="006C45F9" w:rsidRDefault="006C45F9" w:rsidP="00F80EDD">
            <w:pPr>
              <w:spacing w:line="276" w:lineRule="auto"/>
              <w:jc w:val="center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C</w:t>
            </w:r>
            <w:r w:rsidR="00F80EDD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MC &amp; CWDC</w:t>
            </w:r>
          </w:p>
        </w:tc>
      </w:tr>
      <w:tr w:rsidR="006C45F9" w:rsidRPr="006C45F9" w14:paraId="29949F57" w14:textId="77777777" w:rsidTr="006C45F9">
        <w:trPr>
          <w:trHeight w:val="340"/>
        </w:trPr>
        <w:tc>
          <w:tcPr>
            <w:tcW w:w="851" w:type="dxa"/>
            <w:shd w:val="clear" w:color="auto" w:fill="auto"/>
          </w:tcPr>
          <w:p w14:paraId="5EE19DBF" w14:textId="0F6D235A" w:rsidR="006C45F9" w:rsidRPr="006C45F9" w:rsidRDefault="006C45F9" w:rsidP="006C45F9">
            <w:pPr>
              <w:spacing w:line="276" w:lineRule="auto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TBC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6D8BE5" w14:textId="77777777" w:rsidR="006C45F9" w:rsidRPr="006C45F9" w:rsidRDefault="006C45F9" w:rsidP="006C45F9">
            <w:pPr>
              <w:spacing w:line="276" w:lineRule="auto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No financial resources to support panel</w:t>
            </w:r>
          </w:p>
        </w:tc>
        <w:tc>
          <w:tcPr>
            <w:tcW w:w="5636" w:type="dxa"/>
            <w:tcBorders>
              <w:top w:val="single" w:sz="6" w:space="0" w:color="000000"/>
              <w:bottom w:val="single" w:sz="6" w:space="0" w:color="000000"/>
            </w:tcBorders>
          </w:tcPr>
          <w:p w14:paraId="559C8C0F" w14:textId="77777777" w:rsidR="006C45F9" w:rsidRPr="006C45F9" w:rsidRDefault="006C45F9" w:rsidP="006C45F9">
            <w:pPr>
              <w:numPr>
                <w:ilvl w:val="0"/>
                <w:numId w:val="12"/>
              </w:numPr>
              <w:spacing w:line="276" w:lineRule="auto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External sources sought for panel</w:t>
            </w:r>
          </w:p>
          <w:p w14:paraId="71B5FA4E" w14:textId="77777777" w:rsidR="006C45F9" w:rsidRPr="006C45F9" w:rsidRDefault="006C45F9" w:rsidP="006C45F9">
            <w:pPr>
              <w:numPr>
                <w:ilvl w:val="0"/>
                <w:numId w:val="12"/>
              </w:numPr>
              <w:spacing w:line="276" w:lineRule="auto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Sessions will be delivered for minimal cost where possible</w:t>
            </w: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D5080E3" w14:textId="77777777" w:rsidR="006C45F9" w:rsidRPr="006C45F9" w:rsidRDefault="006C45F9" w:rsidP="006C45F9">
            <w:pPr>
              <w:spacing w:line="276" w:lineRule="auto"/>
              <w:jc w:val="center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46D7CBA" w14:textId="77777777" w:rsidR="006C45F9" w:rsidRPr="006C45F9" w:rsidRDefault="006C45F9" w:rsidP="006C45F9">
            <w:pPr>
              <w:spacing w:line="276" w:lineRule="auto"/>
              <w:jc w:val="center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56B394" w14:textId="77777777" w:rsidR="006C45F9" w:rsidRPr="006C45F9" w:rsidRDefault="006C45F9" w:rsidP="006C45F9">
            <w:pPr>
              <w:spacing w:line="276" w:lineRule="auto"/>
              <w:jc w:val="center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6 Moderate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1433FD99" w14:textId="64FAC7BB" w:rsidR="006C45F9" w:rsidRPr="006C45F9" w:rsidRDefault="006C45F9" w:rsidP="00F80EDD">
            <w:pPr>
              <w:spacing w:line="276" w:lineRule="auto"/>
              <w:jc w:val="center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C</w:t>
            </w:r>
            <w:r w:rsidR="00F80EDD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MC &amp; CWDC</w:t>
            </w:r>
          </w:p>
        </w:tc>
      </w:tr>
      <w:tr w:rsidR="006C45F9" w:rsidRPr="006C45F9" w14:paraId="3DCC2AA0" w14:textId="77777777" w:rsidTr="006C45F9">
        <w:trPr>
          <w:trHeight w:val="340"/>
        </w:trPr>
        <w:tc>
          <w:tcPr>
            <w:tcW w:w="851" w:type="dxa"/>
            <w:shd w:val="clear" w:color="auto" w:fill="auto"/>
          </w:tcPr>
          <w:p w14:paraId="45B18E64" w14:textId="68F1E3DF" w:rsidR="006C45F9" w:rsidRPr="006C45F9" w:rsidRDefault="006C45F9" w:rsidP="006C45F9">
            <w:pPr>
              <w:spacing w:line="276" w:lineRule="auto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TBC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7B07E99" w14:textId="77777777" w:rsidR="006C45F9" w:rsidRPr="006C45F9" w:rsidRDefault="006C45F9" w:rsidP="006C45F9">
            <w:pPr>
              <w:spacing w:line="276" w:lineRule="auto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 xml:space="preserve">Leaders not valued / </w:t>
            </w:r>
            <w:proofErr w:type="spellStart"/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recognised</w:t>
            </w:r>
            <w:proofErr w:type="spellEnd"/>
          </w:p>
        </w:tc>
        <w:tc>
          <w:tcPr>
            <w:tcW w:w="5636" w:type="dxa"/>
            <w:tcBorders>
              <w:top w:val="single" w:sz="6" w:space="0" w:color="000000"/>
              <w:bottom w:val="single" w:sz="6" w:space="0" w:color="000000"/>
            </w:tcBorders>
          </w:tcPr>
          <w:p w14:paraId="58F59F7A" w14:textId="77777777" w:rsidR="006C45F9" w:rsidRPr="006C45F9" w:rsidRDefault="006C45F9" w:rsidP="006C45F9">
            <w:pPr>
              <w:numPr>
                <w:ilvl w:val="0"/>
                <w:numId w:val="13"/>
              </w:numPr>
              <w:spacing w:line="276" w:lineRule="auto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 xml:space="preserve">Leaders </w:t>
            </w:r>
            <w:proofErr w:type="spellStart"/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recognised</w:t>
            </w:r>
            <w:proofErr w:type="spellEnd"/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 xml:space="preserve"> within the committee structure</w:t>
            </w:r>
          </w:p>
          <w:p w14:paraId="61F3FABD" w14:textId="77777777" w:rsidR="006C45F9" w:rsidRPr="006C45F9" w:rsidRDefault="006C45F9" w:rsidP="006C45F9">
            <w:pPr>
              <w:numPr>
                <w:ilvl w:val="0"/>
                <w:numId w:val="13"/>
              </w:numPr>
              <w:spacing w:line="276" w:lineRule="auto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Purpose and outcomes of committee will be promoted</w:t>
            </w:r>
          </w:p>
          <w:p w14:paraId="67E70252" w14:textId="77777777" w:rsidR="006C45F9" w:rsidRPr="006C45F9" w:rsidRDefault="006C45F9" w:rsidP="006C45F9">
            <w:pPr>
              <w:numPr>
                <w:ilvl w:val="0"/>
                <w:numId w:val="13"/>
              </w:numPr>
              <w:spacing w:line="276" w:lineRule="auto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Young leader award built into VWA Awards structure</w:t>
            </w: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450DF94" w14:textId="77777777" w:rsidR="006C45F9" w:rsidRPr="006C45F9" w:rsidRDefault="006C45F9" w:rsidP="006C45F9">
            <w:pPr>
              <w:spacing w:line="276" w:lineRule="auto"/>
              <w:jc w:val="center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D9DF7CC" w14:textId="77777777" w:rsidR="006C45F9" w:rsidRPr="006C45F9" w:rsidRDefault="006C45F9" w:rsidP="006C45F9">
            <w:pPr>
              <w:spacing w:line="276" w:lineRule="auto"/>
              <w:jc w:val="center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0382E71" w14:textId="77777777" w:rsidR="006C45F9" w:rsidRPr="006C45F9" w:rsidRDefault="006C45F9" w:rsidP="006C45F9">
            <w:pPr>
              <w:spacing w:line="276" w:lineRule="auto"/>
              <w:jc w:val="center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3</w:t>
            </w:r>
          </w:p>
          <w:p w14:paraId="465A7D04" w14:textId="77777777" w:rsidR="006C45F9" w:rsidRPr="006C45F9" w:rsidRDefault="006C45F9" w:rsidP="006C45F9">
            <w:pPr>
              <w:spacing w:line="276" w:lineRule="auto"/>
              <w:jc w:val="center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Very low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3CD4F1E" w14:textId="7660E0E0" w:rsidR="00F80EDD" w:rsidRDefault="00F80EDD" w:rsidP="006C45F9">
            <w:pPr>
              <w:spacing w:line="276" w:lineRule="auto"/>
              <w:jc w:val="center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CMC &amp;</w:t>
            </w:r>
          </w:p>
          <w:p w14:paraId="187AE5BC" w14:textId="77777777" w:rsidR="006C45F9" w:rsidRPr="006C45F9" w:rsidRDefault="006C45F9" w:rsidP="006C45F9">
            <w:pPr>
              <w:spacing w:line="276" w:lineRule="auto"/>
              <w:jc w:val="center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CWDC</w:t>
            </w:r>
          </w:p>
        </w:tc>
      </w:tr>
      <w:tr w:rsidR="006C45F9" w:rsidRPr="006C45F9" w14:paraId="29E2C0E2" w14:textId="77777777" w:rsidTr="006C45F9">
        <w:trPr>
          <w:trHeight w:val="340"/>
        </w:trPr>
        <w:tc>
          <w:tcPr>
            <w:tcW w:w="851" w:type="dxa"/>
            <w:shd w:val="clear" w:color="auto" w:fill="auto"/>
          </w:tcPr>
          <w:p w14:paraId="5C8C00FC" w14:textId="22BFDA59" w:rsidR="006C45F9" w:rsidRPr="006C45F9" w:rsidRDefault="006C45F9" w:rsidP="006C45F9">
            <w:pPr>
              <w:spacing w:line="276" w:lineRule="auto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TBC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20E9A9E" w14:textId="77777777" w:rsidR="006C45F9" w:rsidRPr="006C45F9" w:rsidRDefault="006C45F9" w:rsidP="006C45F9">
            <w:pPr>
              <w:spacing w:line="276" w:lineRule="auto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No tracking of leaders onto other committees</w:t>
            </w:r>
          </w:p>
        </w:tc>
        <w:tc>
          <w:tcPr>
            <w:tcW w:w="5636" w:type="dxa"/>
            <w:tcBorders>
              <w:top w:val="single" w:sz="6" w:space="0" w:color="000000"/>
              <w:bottom w:val="single" w:sz="6" w:space="0" w:color="000000"/>
            </w:tcBorders>
          </w:tcPr>
          <w:p w14:paraId="054E556D" w14:textId="77777777" w:rsidR="006C45F9" w:rsidRPr="006C45F9" w:rsidRDefault="006C45F9" w:rsidP="006C45F9">
            <w:pPr>
              <w:numPr>
                <w:ilvl w:val="0"/>
                <w:numId w:val="14"/>
              </w:numPr>
              <w:spacing w:line="276" w:lineRule="auto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Leaders targeted for committees based on skills gaps / shortages</w:t>
            </w:r>
          </w:p>
          <w:p w14:paraId="292FE8A7" w14:textId="77777777" w:rsidR="006C45F9" w:rsidRPr="006C45F9" w:rsidRDefault="006C45F9" w:rsidP="006C45F9">
            <w:pPr>
              <w:numPr>
                <w:ilvl w:val="0"/>
                <w:numId w:val="14"/>
              </w:numPr>
              <w:spacing w:line="276" w:lineRule="auto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All opportunities promoted through the panel</w:t>
            </w:r>
          </w:p>
        </w:tc>
        <w:tc>
          <w:tcPr>
            <w:tcW w:w="159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DFD2608" w14:textId="77777777" w:rsidR="006C45F9" w:rsidRPr="006C45F9" w:rsidRDefault="006C45F9" w:rsidP="006C45F9">
            <w:pPr>
              <w:spacing w:line="276" w:lineRule="auto"/>
              <w:jc w:val="center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3A8CB29" w14:textId="77777777" w:rsidR="006C45F9" w:rsidRPr="006C45F9" w:rsidRDefault="006C45F9" w:rsidP="006C45F9">
            <w:pPr>
              <w:spacing w:line="276" w:lineRule="auto"/>
              <w:jc w:val="center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D86BDF5" w14:textId="77777777" w:rsidR="006C45F9" w:rsidRPr="006C45F9" w:rsidRDefault="006C45F9" w:rsidP="006C45F9">
            <w:pPr>
              <w:spacing w:line="276" w:lineRule="auto"/>
              <w:jc w:val="center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2</w:t>
            </w:r>
          </w:p>
          <w:p w14:paraId="15324695" w14:textId="77777777" w:rsidR="006C45F9" w:rsidRPr="006C45F9" w:rsidRDefault="006C45F9" w:rsidP="006C45F9">
            <w:pPr>
              <w:spacing w:line="276" w:lineRule="auto"/>
              <w:jc w:val="center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Very low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D9FED4E" w14:textId="7B5FB3CE" w:rsidR="00F80EDD" w:rsidRDefault="00F80EDD" w:rsidP="006C45F9">
            <w:pPr>
              <w:spacing w:line="276" w:lineRule="auto"/>
              <w:jc w:val="center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CMC &amp;</w:t>
            </w:r>
          </w:p>
          <w:p w14:paraId="44CA8F28" w14:textId="77777777" w:rsidR="006C45F9" w:rsidRPr="006C45F9" w:rsidRDefault="006C45F9" w:rsidP="006C45F9">
            <w:pPr>
              <w:spacing w:line="276" w:lineRule="auto"/>
              <w:jc w:val="center"/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</w:pPr>
            <w:r w:rsidRPr="006C45F9">
              <w:rPr>
                <w:rFonts w:ascii="Open Sans" w:hAnsi="Open Sans" w:cs="Open Sans"/>
                <w:color w:val="0F243E" w:themeColor="text2" w:themeShade="80"/>
                <w:sz w:val="20"/>
                <w:szCs w:val="20"/>
              </w:rPr>
              <w:t>CWDC</w:t>
            </w:r>
          </w:p>
        </w:tc>
      </w:tr>
    </w:tbl>
    <w:p w14:paraId="0C4B21CF" w14:textId="77777777" w:rsidR="006C45F9" w:rsidRPr="008D65E4" w:rsidRDefault="006C45F9">
      <w:pPr>
        <w:spacing w:line="276" w:lineRule="auto"/>
        <w:jc w:val="both"/>
        <w:rPr>
          <w:rFonts w:ascii="Open Sans" w:hAnsi="Open Sans" w:cs="Open Sans"/>
          <w:sz w:val="20"/>
          <w:szCs w:val="20"/>
        </w:rPr>
      </w:pPr>
    </w:p>
    <w:sectPr w:rsidR="006C45F9" w:rsidRPr="008D65E4" w:rsidSect="006C45F9">
      <w:headerReference w:type="first" r:id="rId13"/>
      <w:type w:val="continuous"/>
      <w:pgSz w:w="16840" w:h="11900" w:orient="landscape"/>
      <w:pgMar w:top="1077" w:right="1440" w:bottom="107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384A0" w14:textId="77777777" w:rsidR="00B304BF" w:rsidRDefault="00B304BF" w:rsidP="005E0DEC">
      <w:r>
        <w:separator/>
      </w:r>
    </w:p>
  </w:endnote>
  <w:endnote w:type="continuationSeparator" w:id="0">
    <w:p w14:paraId="3BD9C639" w14:textId="77777777" w:rsidR="00B304BF" w:rsidRDefault="00B304BF" w:rsidP="005E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FSquareSansPro-BoldItalic">
    <w:altName w:val="Times New Roman"/>
    <w:charset w:val="00"/>
    <w:family w:val="auto"/>
    <w:pitch w:val="variable"/>
    <w:sig w:usb0="00000001" w:usb1="5000E0FB" w:usb2="00000000" w:usb3="00000000" w:csb0="0000019F" w:csb1="00000000"/>
  </w:font>
  <w:font w:name="PFSquareSansPro-Light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647FF" w14:textId="77A6AD16" w:rsidR="00B304BF" w:rsidRPr="00D25676" w:rsidRDefault="003F7217">
    <w:pPr>
      <w:pStyle w:val="Footer"/>
      <w:rPr>
        <w:rFonts w:ascii="Open Sans" w:hAnsi="Open Sans" w:cs="Open Sans"/>
        <w:sz w:val="18"/>
      </w:rPr>
    </w:pPr>
    <w:r>
      <w:rPr>
        <w:rFonts w:ascii="Open Sans" w:hAnsi="Open Sans" w:cs="Open Sans"/>
        <w:sz w:val="18"/>
      </w:rPr>
      <w:t>Lead Volley Proposal August 2018</w:t>
    </w:r>
    <w:r w:rsidR="00B304BF">
      <w:rPr>
        <w:rFonts w:ascii="Open Sans" w:hAnsi="Open Sans" w:cs="Open Sans"/>
        <w:sz w:val="18"/>
      </w:rPr>
      <w:tab/>
    </w:r>
    <w:r w:rsidR="00B304BF">
      <w:rPr>
        <w:rFonts w:ascii="Open Sans" w:hAnsi="Open Sans" w:cs="Open Sans"/>
        <w:sz w:val="18"/>
      </w:rPr>
      <w:tab/>
    </w:r>
    <w:r w:rsidR="00B304BF" w:rsidRPr="00E0768A">
      <w:rPr>
        <w:rFonts w:ascii="Open Sans" w:hAnsi="Open Sans" w:cs="Open Sans"/>
        <w:sz w:val="18"/>
      </w:rPr>
      <w:t xml:space="preserve">Page | </w:t>
    </w:r>
    <w:r w:rsidR="00B304BF" w:rsidRPr="00E0768A">
      <w:rPr>
        <w:rFonts w:ascii="Open Sans" w:hAnsi="Open Sans" w:cs="Open Sans"/>
        <w:sz w:val="18"/>
      </w:rPr>
      <w:fldChar w:fldCharType="begin"/>
    </w:r>
    <w:r w:rsidR="00B304BF" w:rsidRPr="00E0768A">
      <w:rPr>
        <w:rFonts w:ascii="Open Sans" w:hAnsi="Open Sans" w:cs="Open Sans"/>
        <w:sz w:val="18"/>
      </w:rPr>
      <w:instrText xml:space="preserve"> PAGE   \* MERGEFORMAT </w:instrText>
    </w:r>
    <w:r w:rsidR="00B304BF" w:rsidRPr="00E0768A">
      <w:rPr>
        <w:rFonts w:ascii="Open Sans" w:hAnsi="Open Sans" w:cs="Open Sans"/>
        <w:sz w:val="18"/>
      </w:rPr>
      <w:fldChar w:fldCharType="separate"/>
    </w:r>
    <w:r w:rsidR="00D81AB7">
      <w:rPr>
        <w:rFonts w:ascii="Open Sans" w:hAnsi="Open Sans" w:cs="Open Sans"/>
        <w:noProof/>
        <w:sz w:val="18"/>
      </w:rPr>
      <w:t>2</w:t>
    </w:r>
    <w:r w:rsidR="00B304BF" w:rsidRPr="00E0768A">
      <w:rPr>
        <w:rFonts w:ascii="Open Sans" w:hAnsi="Open Sans" w:cs="Open Sans"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F15CA" w14:textId="15C1B4BC" w:rsidR="00B304BF" w:rsidRPr="001C1241" w:rsidRDefault="00D81AB7">
    <w:pPr>
      <w:pStyle w:val="Footer"/>
      <w:rPr>
        <w:rFonts w:ascii="Open Sans" w:hAnsi="Open Sans" w:cs="Open Sans"/>
        <w:sz w:val="20"/>
      </w:rPr>
    </w:pPr>
    <w:r>
      <w:rPr>
        <w:rFonts w:ascii="Open Sans" w:hAnsi="Open Sans" w:cs="Open Sans"/>
        <w:sz w:val="18"/>
      </w:rPr>
      <w:t>January 2019</w:t>
    </w:r>
    <w:r w:rsidR="00FE44A8">
      <w:rPr>
        <w:rFonts w:ascii="Open Sans" w:hAnsi="Open Sans" w:cs="Open Sans"/>
        <w:sz w:val="20"/>
      </w:rPr>
      <w:tab/>
    </w:r>
    <w:r w:rsidR="00B304BF">
      <w:rPr>
        <w:rFonts w:ascii="Open Sans" w:hAnsi="Open Sans" w:cs="Open Sans"/>
        <w:sz w:val="20"/>
      </w:rPr>
      <w:tab/>
    </w:r>
    <w:r w:rsidR="006C45F9">
      <w:rPr>
        <w:rFonts w:ascii="Open Sans" w:hAnsi="Open Sans" w:cs="Open Sans"/>
        <w:sz w:val="20"/>
      </w:rPr>
      <w:tab/>
    </w:r>
    <w:r w:rsidR="006C45F9">
      <w:rPr>
        <w:rFonts w:ascii="Open Sans" w:hAnsi="Open Sans" w:cs="Open Sans"/>
        <w:sz w:val="20"/>
      </w:rPr>
      <w:tab/>
    </w:r>
    <w:r w:rsidR="006C45F9">
      <w:rPr>
        <w:rFonts w:ascii="Open Sans" w:hAnsi="Open Sans" w:cs="Open Sans"/>
        <w:sz w:val="20"/>
      </w:rPr>
      <w:tab/>
    </w:r>
    <w:r w:rsidR="006C45F9">
      <w:rPr>
        <w:rFonts w:ascii="Open Sans" w:hAnsi="Open Sans" w:cs="Open Sans"/>
        <w:sz w:val="20"/>
      </w:rPr>
      <w:tab/>
    </w:r>
    <w:r w:rsidR="006C45F9">
      <w:rPr>
        <w:rFonts w:ascii="Open Sans" w:hAnsi="Open Sans" w:cs="Open Sans"/>
        <w:sz w:val="20"/>
      </w:rPr>
      <w:tab/>
    </w:r>
    <w:r w:rsidR="00B304BF" w:rsidRPr="00E973E5">
      <w:rPr>
        <w:rFonts w:ascii="Open Sans" w:hAnsi="Open Sans" w:cs="Open Sans"/>
        <w:sz w:val="20"/>
      </w:rPr>
      <w:t xml:space="preserve">Page | </w:t>
    </w:r>
    <w:r w:rsidR="00B304BF" w:rsidRPr="00E973E5">
      <w:rPr>
        <w:rFonts w:ascii="Open Sans" w:hAnsi="Open Sans" w:cs="Open Sans"/>
        <w:sz w:val="20"/>
      </w:rPr>
      <w:fldChar w:fldCharType="begin"/>
    </w:r>
    <w:r w:rsidR="00B304BF" w:rsidRPr="00E973E5">
      <w:rPr>
        <w:rFonts w:ascii="Open Sans" w:hAnsi="Open Sans" w:cs="Open Sans"/>
        <w:sz w:val="20"/>
      </w:rPr>
      <w:instrText xml:space="preserve"> PAGE   \* MERGEFORMAT </w:instrText>
    </w:r>
    <w:r w:rsidR="00B304BF" w:rsidRPr="00E973E5">
      <w:rPr>
        <w:rFonts w:ascii="Open Sans" w:hAnsi="Open Sans" w:cs="Open Sans"/>
        <w:sz w:val="20"/>
      </w:rPr>
      <w:fldChar w:fldCharType="separate"/>
    </w:r>
    <w:r>
      <w:rPr>
        <w:rFonts w:ascii="Open Sans" w:hAnsi="Open Sans" w:cs="Open Sans"/>
        <w:noProof/>
        <w:sz w:val="20"/>
      </w:rPr>
      <w:t>3</w:t>
    </w:r>
    <w:r w:rsidR="00B304BF" w:rsidRPr="00E973E5">
      <w:rPr>
        <w:rFonts w:ascii="Open Sans" w:hAnsi="Open Sans" w:cs="Open Sans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73790" w14:textId="77777777" w:rsidR="00B304BF" w:rsidRDefault="00B304BF" w:rsidP="005E0DEC">
      <w:r>
        <w:separator/>
      </w:r>
    </w:p>
  </w:footnote>
  <w:footnote w:type="continuationSeparator" w:id="0">
    <w:p w14:paraId="431EE28E" w14:textId="77777777" w:rsidR="00B304BF" w:rsidRDefault="00B304BF" w:rsidP="005E0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4024D" w14:textId="77777777" w:rsidR="00B304BF" w:rsidRDefault="00D81AB7">
    <w:pPr>
      <w:pStyle w:val="Header"/>
    </w:pPr>
    <w:r>
      <w:rPr>
        <w:noProof/>
        <w:lang w:val="en-AU" w:eastAsia="en-AU"/>
      </w:rPr>
      <w:pict w14:anchorId="523255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37477" o:spid="_x0000_s14338" type="#_x0000_t75" style="position:absolute;margin-left:0;margin-top:0;width:520.6pt;height:736.7pt;z-index:-251655680;mso-position-horizontal:center;mso-position-horizontal-relative:margin;mso-position-vertical:center;mso-position-vertical-relative:margin" o:allowincell="f">
          <v:imagedata r:id="rId1" o:title="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DB5E3" w14:textId="2701C9CD" w:rsidR="00B304BF" w:rsidRDefault="00FE44A8">
    <w:pPr>
      <w:pStyle w:val="Header"/>
    </w:pPr>
    <w:r w:rsidRPr="00FE44A8">
      <w:rPr>
        <w:rFonts w:ascii="Open Sans" w:hAnsi="Open Sans" w:cs="Open Sans"/>
        <w:b/>
        <w:noProof/>
        <w:color w:val="0F243E" w:themeColor="text2" w:themeShade="80"/>
        <w:sz w:val="20"/>
        <w:szCs w:val="20"/>
        <w:lang w:val="en-AU" w:eastAsia="en-AU"/>
      </w:rPr>
      <w:drawing>
        <wp:anchor distT="0" distB="0" distL="114300" distR="114300" simplePos="0" relativeHeight="251657728" behindDoc="1" locked="0" layoutInCell="1" allowOverlap="1" wp14:anchorId="4C26EA32" wp14:editId="0AA77632">
          <wp:simplePos x="0" y="0"/>
          <wp:positionH relativeFrom="column">
            <wp:posOffset>-217805</wp:posOffset>
          </wp:positionH>
          <wp:positionV relativeFrom="paragraph">
            <wp:posOffset>49530</wp:posOffset>
          </wp:positionV>
          <wp:extent cx="1693627" cy="667910"/>
          <wp:effectExtent l="0" t="0" r="190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Volle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50" t="32999" r="19483" b="26141"/>
                  <a:stretch/>
                </pic:blipFill>
                <pic:spPr bwMode="auto">
                  <a:xfrm>
                    <a:off x="0" y="0"/>
                    <a:ext cx="1693627" cy="667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4BF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B4AA7BC" wp14:editId="767F1563">
              <wp:simplePos x="0" y="0"/>
              <wp:positionH relativeFrom="column">
                <wp:posOffset>3448878</wp:posOffset>
              </wp:positionH>
              <wp:positionV relativeFrom="paragraph">
                <wp:posOffset>-218992</wp:posOffset>
              </wp:positionV>
              <wp:extent cx="3095874" cy="647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874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10DA7D" w14:textId="17CED76E" w:rsidR="00B304BF" w:rsidRPr="00C35FFC" w:rsidRDefault="00CB0A79" w:rsidP="00C45BA4">
                          <w:pPr>
                            <w:jc w:val="right"/>
                            <w:rPr>
                              <w:rFonts w:ascii="Open Sans" w:hAnsi="Open Sans" w:cs="Open Sans"/>
                              <w:color w:val="FFFFFF" w:themeColor="background1"/>
                              <w:szCs w:val="22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44"/>
                              <w:szCs w:val="22"/>
                            </w:rPr>
                            <w:t>Lead Volley Proposal</w:t>
                          </w:r>
                        </w:p>
                        <w:p w14:paraId="029AD7E3" w14:textId="77777777" w:rsidR="00B304BF" w:rsidRDefault="00B304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B4AA7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1.55pt;margin-top:-17.25pt;width:243.75pt;height:51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Qd9fwIAAGIFAAAOAAAAZHJzL2Uyb0RvYy54bWysVMFu2zAMvQ/YPwi6r3aapGmDOEXWosOA&#10;oC2WDD0rstQYk0RNUmJnXz9KttMg26XDLjZFPlLkI6nZbaMV2QvnKzAFHVzklAjDoazMa0G/rx8+&#10;XVPiAzMlU2BEQQ/C09v5xw+z2k7FJWxBlcIRDGL8tLYF3YZgp1nm+VZo5i/ACoNGCU6zgEf3mpWO&#10;1Rhdq+wyz6+yGlxpHXDhPWrvWyOdp/hSCh6epPQiEFVQzC2kr0vfTfxm8xmbvjpmtxXv0mD/kIVm&#10;lcFLj6HuWWBk56o/QumKO/AgwwUHnYGUFRepBqxmkJ9Vs9oyK1ItSI63R5r8/wvLH/fPjlRlQYeU&#10;GKaxRWvRBPIZGjKM7NTWTxG0sggLDaqxy73eozIW3Uin4x/LIWhHng9HbmMwjsphfjO+nowo4Wi7&#10;Gk0meSI/e/O2zocvAjSJQkEd9i5RyvZLHzAThPaQeJmBh0qp1D9lSI1Bh+M8ORwt6KFMxIo0CV2Y&#10;WFGbeZLCQYmIUeabkMhEKiAq0gyKO+XInuH0MM6FCan2FBfRESUxifc4dvi3rN7j3NbR3wwmHJ11&#10;ZcCl6s/SLn/0KcsWj0Se1B3F0GyartMbKA/YaAftonjLHyrsxpL58Mwcbgb2Frc9POFHKkDWoZMo&#10;2YL79Td9xOPAopWSGjetoP7njjlBifpqcJRvBqNRXM10GI0nl3hwp5bNqcXs9B1gOwb4rliexIgP&#10;qhelA/2Cj8Ii3oomZjjeXdDQi3eh3X98VLhYLBIIl9GysDQry2Po2J04a+vmhTnbDWTAUX6EfifZ&#10;9GwuW2z0NLDYBZBVGtpIcMtqRzwucprl7tGJL8XpOaHensb5bwAAAP//AwBQSwMEFAAGAAgAAAAh&#10;ADQjGNDjAAAACwEAAA8AAABkcnMvZG93bnJldi54bWxMj8FuwjAQRO+V+g/WVuoNbAhJUYiDUCRU&#10;qWoPUC69OfGSRMTrNDaQ9utrTvS4mqeZt9l6NB274OBaSxJmUwEMqbK6pVrC4XM7WQJzXpFWnSWU&#10;8IMO1vnjQ6ZSba+0w8ve1yyUkEuVhMb7PuXcVQ0a5aa2RwrZ0Q5G+XAONdeDuoZy0/G5EAk3qqWw&#10;0Kgeiwar0/5sJLwV2w+1K+dm+dsVr+/HTf99+IqlfH4aNytgHkd/h+GmH9QhD06lPZN2rJMQL6JZ&#10;QCVMokUM7EaISCTASgnJSww8z/j/H/I/AAAA//8DAFBLAQItABQABgAIAAAAIQC2gziS/gAAAOEB&#10;AAATAAAAAAAAAAAAAAAAAAAAAABbQ29udGVudF9UeXBlc10ueG1sUEsBAi0AFAAGAAgAAAAhADj9&#10;If/WAAAAlAEAAAsAAAAAAAAAAAAAAAAALwEAAF9yZWxzLy5yZWxzUEsBAi0AFAAGAAgAAAAhADbt&#10;B31/AgAAYgUAAA4AAAAAAAAAAAAAAAAALgIAAGRycy9lMm9Eb2MueG1sUEsBAi0AFAAGAAgAAAAh&#10;ADQjGNDjAAAACwEAAA8AAAAAAAAAAAAAAAAA2QQAAGRycy9kb3ducmV2LnhtbFBLBQYAAAAABAAE&#10;APMAAADpBQAAAAA=&#10;" filled="f" stroked="f" strokeweight=".5pt">
              <v:textbox>
                <w:txbxContent>
                  <w:p w14:paraId="5510DA7D" w14:textId="17CED76E" w:rsidR="00B304BF" w:rsidRPr="00C35FFC" w:rsidRDefault="00CB0A79" w:rsidP="00C45BA4">
                    <w:pPr>
                      <w:jc w:val="right"/>
                      <w:rPr>
                        <w:rFonts w:ascii="Open Sans" w:hAnsi="Open Sans" w:cs="Open Sans"/>
                        <w:color w:val="FFFFFF" w:themeColor="background1"/>
                        <w:szCs w:val="22"/>
                      </w:rPr>
                    </w:pPr>
                    <w:r>
                      <w:rPr>
                        <w:rFonts w:ascii="Open Sans" w:hAnsi="Open Sans" w:cs="Open Sans"/>
                        <w:b/>
                        <w:color w:val="FFFFFF" w:themeColor="background1"/>
                        <w:sz w:val="44"/>
                        <w:szCs w:val="22"/>
                      </w:rPr>
                      <w:t>Lead Volley Proposal</w:t>
                    </w:r>
                  </w:p>
                  <w:p w14:paraId="029AD7E3" w14:textId="77777777" w:rsidR="00B304BF" w:rsidRDefault="00B304BF"/>
                </w:txbxContent>
              </v:textbox>
            </v:shape>
          </w:pict>
        </mc:Fallback>
      </mc:AlternateContent>
    </w:r>
    <w:r w:rsidR="00B304BF">
      <w:rPr>
        <w:noProof/>
        <w:lang w:val="en-AU" w:eastAsia="en-AU"/>
      </w:rPr>
      <w:drawing>
        <wp:anchor distT="0" distB="0" distL="114300" distR="114300" simplePos="0" relativeHeight="251654656" behindDoc="1" locked="0" layoutInCell="1" allowOverlap="1" wp14:anchorId="20670430" wp14:editId="2B186128">
          <wp:simplePos x="0" y="0"/>
          <wp:positionH relativeFrom="column">
            <wp:posOffset>-748665</wp:posOffset>
          </wp:positionH>
          <wp:positionV relativeFrom="paragraph">
            <wp:posOffset>-675640</wp:posOffset>
          </wp:positionV>
          <wp:extent cx="7609840" cy="1724025"/>
          <wp:effectExtent l="0" t="0" r="10160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 head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840" cy="172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7FF2A" w14:textId="580C567D" w:rsidR="00B304BF" w:rsidRDefault="004F3F6E">
    <w:pPr>
      <w:pStyle w:val="Header"/>
    </w:pPr>
    <w:r w:rsidRPr="00FE44A8">
      <w:rPr>
        <w:rFonts w:ascii="Open Sans" w:hAnsi="Open Sans" w:cs="Open Sans"/>
        <w:b/>
        <w:noProof/>
        <w:color w:val="0F243E" w:themeColor="text2" w:themeShade="80"/>
        <w:sz w:val="20"/>
        <w:szCs w:val="20"/>
        <w:lang w:val="en-AU" w:eastAsia="en-AU"/>
      </w:rPr>
      <w:drawing>
        <wp:anchor distT="0" distB="0" distL="114300" distR="114300" simplePos="0" relativeHeight="251658752" behindDoc="1" locked="0" layoutInCell="1" allowOverlap="1" wp14:anchorId="6C5ED725" wp14:editId="7DBE79BB">
          <wp:simplePos x="0" y="0"/>
          <wp:positionH relativeFrom="column">
            <wp:posOffset>-170180</wp:posOffset>
          </wp:positionH>
          <wp:positionV relativeFrom="paragraph">
            <wp:posOffset>49530</wp:posOffset>
          </wp:positionV>
          <wp:extent cx="1693627" cy="667910"/>
          <wp:effectExtent l="0" t="0" r="190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Volle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50" t="32999" r="19483" b="26141"/>
                  <a:stretch/>
                </pic:blipFill>
                <pic:spPr bwMode="auto">
                  <a:xfrm>
                    <a:off x="0" y="0"/>
                    <a:ext cx="1693627" cy="667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4BF" w:rsidRPr="00D01D92">
      <w:rPr>
        <w:rFonts w:ascii="Open Sans" w:hAnsi="Open Sans" w:cs="Open Sans"/>
        <w:noProof/>
        <w:color w:val="FFFFFF" w:themeColor="background1"/>
        <w:sz w:val="44"/>
        <w:szCs w:val="22"/>
        <w:lang w:val="en-AU" w:eastAsia="en-AU"/>
      </w:rPr>
      <w:drawing>
        <wp:anchor distT="0" distB="0" distL="114300" distR="114300" simplePos="0" relativeHeight="251656704" behindDoc="1" locked="0" layoutInCell="1" allowOverlap="1" wp14:anchorId="61540C74" wp14:editId="6C641F29">
          <wp:simplePos x="0" y="0"/>
          <wp:positionH relativeFrom="column">
            <wp:posOffset>-691515</wp:posOffset>
          </wp:positionH>
          <wp:positionV relativeFrom="paragraph">
            <wp:posOffset>-690245</wp:posOffset>
          </wp:positionV>
          <wp:extent cx="7609840" cy="172402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 headin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840" cy="172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1D439" w14:textId="05CCC35C" w:rsidR="006C45F9" w:rsidRDefault="006C45F9">
    <w:pPr>
      <w:pStyle w:val="Header"/>
    </w:pPr>
    <w:r w:rsidRPr="00FE44A8">
      <w:rPr>
        <w:rFonts w:ascii="Open Sans" w:hAnsi="Open Sans" w:cs="Open Sans"/>
        <w:b/>
        <w:noProof/>
        <w:color w:val="0F243E" w:themeColor="text2" w:themeShade="80"/>
        <w:sz w:val="20"/>
        <w:szCs w:val="20"/>
        <w:lang w:val="en-AU" w:eastAsia="en-AU"/>
      </w:rPr>
      <w:drawing>
        <wp:anchor distT="0" distB="0" distL="114300" distR="114300" simplePos="0" relativeHeight="251659776" behindDoc="1" locked="0" layoutInCell="1" allowOverlap="1" wp14:anchorId="69F76001" wp14:editId="17CA5D8D">
          <wp:simplePos x="0" y="0"/>
          <wp:positionH relativeFrom="column">
            <wp:posOffset>-170180</wp:posOffset>
          </wp:positionH>
          <wp:positionV relativeFrom="paragraph">
            <wp:posOffset>49530</wp:posOffset>
          </wp:positionV>
          <wp:extent cx="1693627" cy="667910"/>
          <wp:effectExtent l="0" t="0" r="1905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Volley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50" t="32999" r="19483" b="26141"/>
                  <a:stretch/>
                </pic:blipFill>
                <pic:spPr bwMode="auto">
                  <a:xfrm>
                    <a:off x="0" y="0"/>
                    <a:ext cx="1693627" cy="667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B4576"/>
    <w:multiLevelType w:val="hybridMultilevel"/>
    <w:tmpl w:val="FB62A3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EA3131"/>
    <w:multiLevelType w:val="hybridMultilevel"/>
    <w:tmpl w:val="CA70D4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3970A8"/>
    <w:multiLevelType w:val="hybridMultilevel"/>
    <w:tmpl w:val="4544CA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4B86AAC0">
      <w:numFmt w:val="bullet"/>
      <w:lvlText w:val="•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3" w:tplc="2DAC7B0C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E27757"/>
    <w:multiLevelType w:val="hybridMultilevel"/>
    <w:tmpl w:val="2D2C6C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85EA7"/>
    <w:multiLevelType w:val="hybridMultilevel"/>
    <w:tmpl w:val="CD06D3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A04FAF"/>
    <w:multiLevelType w:val="hybridMultilevel"/>
    <w:tmpl w:val="5D807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A5125C"/>
    <w:multiLevelType w:val="hybridMultilevel"/>
    <w:tmpl w:val="23806B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6750DA"/>
    <w:multiLevelType w:val="hybridMultilevel"/>
    <w:tmpl w:val="06FE86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356ACA"/>
    <w:multiLevelType w:val="hybridMultilevel"/>
    <w:tmpl w:val="1E90DA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617F8"/>
    <w:multiLevelType w:val="hybridMultilevel"/>
    <w:tmpl w:val="685400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804C37"/>
    <w:multiLevelType w:val="hybridMultilevel"/>
    <w:tmpl w:val="212C20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E81A7D"/>
    <w:multiLevelType w:val="hybridMultilevel"/>
    <w:tmpl w:val="E7A2D4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A70274"/>
    <w:multiLevelType w:val="hybridMultilevel"/>
    <w:tmpl w:val="9D624A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375D2F"/>
    <w:multiLevelType w:val="hybridMultilevel"/>
    <w:tmpl w:val="441AED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"/>
  </w:num>
  <w:num w:numId="5">
    <w:abstractNumId w:val="13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  <w:num w:numId="12">
    <w:abstractNumId w:val="6"/>
  </w:num>
  <w:num w:numId="13">
    <w:abstractNumId w:val="12"/>
  </w:num>
  <w:num w:numId="1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2F"/>
    <w:rsid w:val="00000511"/>
    <w:rsid w:val="000017BB"/>
    <w:rsid w:val="00001F22"/>
    <w:rsid w:val="00012945"/>
    <w:rsid w:val="00015955"/>
    <w:rsid w:val="000455BD"/>
    <w:rsid w:val="00056751"/>
    <w:rsid w:val="00066041"/>
    <w:rsid w:val="00066190"/>
    <w:rsid w:val="000668DB"/>
    <w:rsid w:val="0008495D"/>
    <w:rsid w:val="00087A37"/>
    <w:rsid w:val="00091E19"/>
    <w:rsid w:val="000C1753"/>
    <w:rsid w:val="000C2BEA"/>
    <w:rsid w:val="000D002D"/>
    <w:rsid w:val="000E3CF2"/>
    <w:rsid w:val="000E40D5"/>
    <w:rsid w:val="000E7F5D"/>
    <w:rsid w:val="000F2BDA"/>
    <w:rsid w:val="000F3E1F"/>
    <w:rsid w:val="000F69E3"/>
    <w:rsid w:val="00100123"/>
    <w:rsid w:val="001008CE"/>
    <w:rsid w:val="00102A7E"/>
    <w:rsid w:val="00103E9E"/>
    <w:rsid w:val="0010453E"/>
    <w:rsid w:val="00105AF4"/>
    <w:rsid w:val="00110759"/>
    <w:rsid w:val="00114B95"/>
    <w:rsid w:val="00117D35"/>
    <w:rsid w:val="00117D50"/>
    <w:rsid w:val="00120216"/>
    <w:rsid w:val="00127E6C"/>
    <w:rsid w:val="00165739"/>
    <w:rsid w:val="0017564D"/>
    <w:rsid w:val="00181F4B"/>
    <w:rsid w:val="00185C1C"/>
    <w:rsid w:val="001908FF"/>
    <w:rsid w:val="00190F4D"/>
    <w:rsid w:val="00195261"/>
    <w:rsid w:val="00195292"/>
    <w:rsid w:val="00195C67"/>
    <w:rsid w:val="001964F0"/>
    <w:rsid w:val="001A1F46"/>
    <w:rsid w:val="001A6EE9"/>
    <w:rsid w:val="001B7186"/>
    <w:rsid w:val="001C1241"/>
    <w:rsid w:val="001C2CF3"/>
    <w:rsid w:val="001C47FA"/>
    <w:rsid w:val="001D3416"/>
    <w:rsid w:val="001E26B2"/>
    <w:rsid w:val="001E7EFD"/>
    <w:rsid w:val="001F2D4B"/>
    <w:rsid w:val="001F4AD1"/>
    <w:rsid w:val="00227A2B"/>
    <w:rsid w:val="00232090"/>
    <w:rsid w:val="00243B5C"/>
    <w:rsid w:val="002532A0"/>
    <w:rsid w:val="00263F28"/>
    <w:rsid w:val="0027130B"/>
    <w:rsid w:val="0027248F"/>
    <w:rsid w:val="0027618A"/>
    <w:rsid w:val="00282A3E"/>
    <w:rsid w:val="00291FF3"/>
    <w:rsid w:val="002D2AD7"/>
    <w:rsid w:val="002D6571"/>
    <w:rsid w:val="002E5680"/>
    <w:rsid w:val="0030158F"/>
    <w:rsid w:val="00313DA1"/>
    <w:rsid w:val="003171C0"/>
    <w:rsid w:val="00324DC2"/>
    <w:rsid w:val="003366A8"/>
    <w:rsid w:val="00342C42"/>
    <w:rsid w:val="00344563"/>
    <w:rsid w:val="003506E9"/>
    <w:rsid w:val="00351291"/>
    <w:rsid w:val="00363AE1"/>
    <w:rsid w:val="00367632"/>
    <w:rsid w:val="0037036F"/>
    <w:rsid w:val="00370774"/>
    <w:rsid w:val="003926F9"/>
    <w:rsid w:val="003A17C7"/>
    <w:rsid w:val="003A27B4"/>
    <w:rsid w:val="003A4E12"/>
    <w:rsid w:val="003B234D"/>
    <w:rsid w:val="003B25D5"/>
    <w:rsid w:val="003C6431"/>
    <w:rsid w:val="003C7646"/>
    <w:rsid w:val="003D05B3"/>
    <w:rsid w:val="003D4AE7"/>
    <w:rsid w:val="003D5B96"/>
    <w:rsid w:val="003D727A"/>
    <w:rsid w:val="003E0744"/>
    <w:rsid w:val="003E2600"/>
    <w:rsid w:val="003E3B14"/>
    <w:rsid w:val="003F087F"/>
    <w:rsid w:val="003F452B"/>
    <w:rsid w:val="003F660A"/>
    <w:rsid w:val="003F7217"/>
    <w:rsid w:val="003F73B8"/>
    <w:rsid w:val="004056B4"/>
    <w:rsid w:val="004240F7"/>
    <w:rsid w:val="00432808"/>
    <w:rsid w:val="00433C47"/>
    <w:rsid w:val="00435748"/>
    <w:rsid w:val="00435A3F"/>
    <w:rsid w:val="00435F2C"/>
    <w:rsid w:val="00436058"/>
    <w:rsid w:val="00437D5A"/>
    <w:rsid w:val="0044239E"/>
    <w:rsid w:val="00461CEB"/>
    <w:rsid w:val="00471F11"/>
    <w:rsid w:val="00472EAE"/>
    <w:rsid w:val="00474EAD"/>
    <w:rsid w:val="004846B0"/>
    <w:rsid w:val="004858A9"/>
    <w:rsid w:val="004871CE"/>
    <w:rsid w:val="00487989"/>
    <w:rsid w:val="00493199"/>
    <w:rsid w:val="004A1413"/>
    <w:rsid w:val="004A1836"/>
    <w:rsid w:val="004A4C48"/>
    <w:rsid w:val="004C501C"/>
    <w:rsid w:val="004C5B2F"/>
    <w:rsid w:val="004D4557"/>
    <w:rsid w:val="004E4828"/>
    <w:rsid w:val="004F0CD2"/>
    <w:rsid w:val="004F3F6E"/>
    <w:rsid w:val="00505C7E"/>
    <w:rsid w:val="00510117"/>
    <w:rsid w:val="0051245E"/>
    <w:rsid w:val="005213F7"/>
    <w:rsid w:val="00530FEB"/>
    <w:rsid w:val="00546065"/>
    <w:rsid w:val="00554AD9"/>
    <w:rsid w:val="005672F7"/>
    <w:rsid w:val="00577089"/>
    <w:rsid w:val="00580DE5"/>
    <w:rsid w:val="00582451"/>
    <w:rsid w:val="0058435A"/>
    <w:rsid w:val="005910A9"/>
    <w:rsid w:val="0059154F"/>
    <w:rsid w:val="005A3E5D"/>
    <w:rsid w:val="005A4569"/>
    <w:rsid w:val="005A4D7F"/>
    <w:rsid w:val="005A67A3"/>
    <w:rsid w:val="005A7C02"/>
    <w:rsid w:val="005B2D30"/>
    <w:rsid w:val="005B6039"/>
    <w:rsid w:val="005B6435"/>
    <w:rsid w:val="005C7D29"/>
    <w:rsid w:val="005D06D5"/>
    <w:rsid w:val="005D3300"/>
    <w:rsid w:val="005D5A3F"/>
    <w:rsid w:val="005E0DEC"/>
    <w:rsid w:val="005E3D15"/>
    <w:rsid w:val="005E6E6F"/>
    <w:rsid w:val="005F25F6"/>
    <w:rsid w:val="00606190"/>
    <w:rsid w:val="0061396B"/>
    <w:rsid w:val="006227A9"/>
    <w:rsid w:val="00622D1C"/>
    <w:rsid w:val="00625E2F"/>
    <w:rsid w:val="00640F3E"/>
    <w:rsid w:val="00651DE0"/>
    <w:rsid w:val="00660A71"/>
    <w:rsid w:val="00673F9C"/>
    <w:rsid w:val="0068543E"/>
    <w:rsid w:val="006A2EF8"/>
    <w:rsid w:val="006A4F3D"/>
    <w:rsid w:val="006A5D25"/>
    <w:rsid w:val="006B4636"/>
    <w:rsid w:val="006B7672"/>
    <w:rsid w:val="006C45F9"/>
    <w:rsid w:val="006C47E4"/>
    <w:rsid w:val="006D11F5"/>
    <w:rsid w:val="006D33C7"/>
    <w:rsid w:val="006E1487"/>
    <w:rsid w:val="006E5C97"/>
    <w:rsid w:val="006F252B"/>
    <w:rsid w:val="006F4898"/>
    <w:rsid w:val="006F4AA1"/>
    <w:rsid w:val="0070218E"/>
    <w:rsid w:val="007030EB"/>
    <w:rsid w:val="007060DE"/>
    <w:rsid w:val="00712827"/>
    <w:rsid w:val="00712DFA"/>
    <w:rsid w:val="00730442"/>
    <w:rsid w:val="007349AA"/>
    <w:rsid w:val="00742D61"/>
    <w:rsid w:val="0074464F"/>
    <w:rsid w:val="00744D73"/>
    <w:rsid w:val="007506B6"/>
    <w:rsid w:val="00752217"/>
    <w:rsid w:val="00752D7E"/>
    <w:rsid w:val="00766823"/>
    <w:rsid w:val="007736CE"/>
    <w:rsid w:val="00774A77"/>
    <w:rsid w:val="00781DBF"/>
    <w:rsid w:val="00783730"/>
    <w:rsid w:val="0079265C"/>
    <w:rsid w:val="007A5CC6"/>
    <w:rsid w:val="007B4AB9"/>
    <w:rsid w:val="007C2D80"/>
    <w:rsid w:val="007C44B5"/>
    <w:rsid w:val="007D1BBE"/>
    <w:rsid w:val="007D7502"/>
    <w:rsid w:val="007E0771"/>
    <w:rsid w:val="007E2F60"/>
    <w:rsid w:val="007F3E21"/>
    <w:rsid w:val="007F6622"/>
    <w:rsid w:val="007F6A23"/>
    <w:rsid w:val="00801D48"/>
    <w:rsid w:val="0080354A"/>
    <w:rsid w:val="00803D9B"/>
    <w:rsid w:val="00835667"/>
    <w:rsid w:val="00836C07"/>
    <w:rsid w:val="00842A32"/>
    <w:rsid w:val="008438E0"/>
    <w:rsid w:val="0084574F"/>
    <w:rsid w:val="008503C9"/>
    <w:rsid w:val="008566F6"/>
    <w:rsid w:val="00857D79"/>
    <w:rsid w:val="008646F7"/>
    <w:rsid w:val="00866C41"/>
    <w:rsid w:val="0087335F"/>
    <w:rsid w:val="00873A29"/>
    <w:rsid w:val="008740BE"/>
    <w:rsid w:val="008873E4"/>
    <w:rsid w:val="008908AD"/>
    <w:rsid w:val="0089143D"/>
    <w:rsid w:val="008920D5"/>
    <w:rsid w:val="00892180"/>
    <w:rsid w:val="00894419"/>
    <w:rsid w:val="008A5B88"/>
    <w:rsid w:val="008A6659"/>
    <w:rsid w:val="008B2150"/>
    <w:rsid w:val="008C6BEE"/>
    <w:rsid w:val="008C7D4C"/>
    <w:rsid w:val="008D33F9"/>
    <w:rsid w:val="008D4076"/>
    <w:rsid w:val="008D65E4"/>
    <w:rsid w:val="009165F0"/>
    <w:rsid w:val="00920E64"/>
    <w:rsid w:val="00921854"/>
    <w:rsid w:val="00934D26"/>
    <w:rsid w:val="00935602"/>
    <w:rsid w:val="00941080"/>
    <w:rsid w:val="00942CD1"/>
    <w:rsid w:val="0094424E"/>
    <w:rsid w:val="00946574"/>
    <w:rsid w:val="00950F62"/>
    <w:rsid w:val="0095784E"/>
    <w:rsid w:val="00964D97"/>
    <w:rsid w:val="009663DB"/>
    <w:rsid w:val="0097474B"/>
    <w:rsid w:val="00983C68"/>
    <w:rsid w:val="0098441D"/>
    <w:rsid w:val="0099244B"/>
    <w:rsid w:val="009927AF"/>
    <w:rsid w:val="009928B5"/>
    <w:rsid w:val="0099487D"/>
    <w:rsid w:val="0099704E"/>
    <w:rsid w:val="009B314A"/>
    <w:rsid w:val="009B4E78"/>
    <w:rsid w:val="009B673D"/>
    <w:rsid w:val="009C4CCF"/>
    <w:rsid w:val="009E4D96"/>
    <w:rsid w:val="009E53F6"/>
    <w:rsid w:val="009E6CC3"/>
    <w:rsid w:val="009E7FCA"/>
    <w:rsid w:val="009F2212"/>
    <w:rsid w:val="00A047A5"/>
    <w:rsid w:val="00A1104A"/>
    <w:rsid w:val="00A14DD6"/>
    <w:rsid w:val="00A21F1A"/>
    <w:rsid w:val="00A23D28"/>
    <w:rsid w:val="00A2618A"/>
    <w:rsid w:val="00A449D5"/>
    <w:rsid w:val="00A53C3D"/>
    <w:rsid w:val="00A63F7B"/>
    <w:rsid w:val="00A82FCE"/>
    <w:rsid w:val="00A95CEC"/>
    <w:rsid w:val="00AB3E03"/>
    <w:rsid w:val="00AB4409"/>
    <w:rsid w:val="00AB661F"/>
    <w:rsid w:val="00AC08A8"/>
    <w:rsid w:val="00AC28C1"/>
    <w:rsid w:val="00AC4FA0"/>
    <w:rsid w:val="00AC6921"/>
    <w:rsid w:val="00AD2958"/>
    <w:rsid w:val="00AD4F62"/>
    <w:rsid w:val="00AD72EE"/>
    <w:rsid w:val="00AD741B"/>
    <w:rsid w:val="00AE6C75"/>
    <w:rsid w:val="00AF045D"/>
    <w:rsid w:val="00B22AF5"/>
    <w:rsid w:val="00B2414C"/>
    <w:rsid w:val="00B24A70"/>
    <w:rsid w:val="00B2684A"/>
    <w:rsid w:val="00B304BF"/>
    <w:rsid w:val="00B31CC9"/>
    <w:rsid w:val="00B40C58"/>
    <w:rsid w:val="00B41525"/>
    <w:rsid w:val="00B4198B"/>
    <w:rsid w:val="00B4409E"/>
    <w:rsid w:val="00B44D91"/>
    <w:rsid w:val="00B52801"/>
    <w:rsid w:val="00B52EFC"/>
    <w:rsid w:val="00B8532D"/>
    <w:rsid w:val="00B950C7"/>
    <w:rsid w:val="00BA1834"/>
    <w:rsid w:val="00BA5F28"/>
    <w:rsid w:val="00BA7DFA"/>
    <w:rsid w:val="00BB223E"/>
    <w:rsid w:val="00BB25AE"/>
    <w:rsid w:val="00BB2A1B"/>
    <w:rsid w:val="00BB3FA9"/>
    <w:rsid w:val="00BB6168"/>
    <w:rsid w:val="00BD0AB7"/>
    <w:rsid w:val="00BD67D4"/>
    <w:rsid w:val="00BE53E4"/>
    <w:rsid w:val="00BE6690"/>
    <w:rsid w:val="00BF0943"/>
    <w:rsid w:val="00BF29B6"/>
    <w:rsid w:val="00BF78B2"/>
    <w:rsid w:val="00C04431"/>
    <w:rsid w:val="00C21FFA"/>
    <w:rsid w:val="00C316C4"/>
    <w:rsid w:val="00C35FFC"/>
    <w:rsid w:val="00C36729"/>
    <w:rsid w:val="00C40479"/>
    <w:rsid w:val="00C45BA4"/>
    <w:rsid w:val="00C4621C"/>
    <w:rsid w:val="00C5656E"/>
    <w:rsid w:val="00C575C4"/>
    <w:rsid w:val="00C57904"/>
    <w:rsid w:val="00C60BF2"/>
    <w:rsid w:val="00C65D2D"/>
    <w:rsid w:val="00C67923"/>
    <w:rsid w:val="00C762A4"/>
    <w:rsid w:val="00C8232C"/>
    <w:rsid w:val="00C948BD"/>
    <w:rsid w:val="00C95A68"/>
    <w:rsid w:val="00CA2DF5"/>
    <w:rsid w:val="00CB0A79"/>
    <w:rsid w:val="00CB2D31"/>
    <w:rsid w:val="00CC2BE7"/>
    <w:rsid w:val="00CC4B83"/>
    <w:rsid w:val="00CC7644"/>
    <w:rsid w:val="00CD29BF"/>
    <w:rsid w:val="00CD7E82"/>
    <w:rsid w:val="00CE5545"/>
    <w:rsid w:val="00D00ABB"/>
    <w:rsid w:val="00D01D92"/>
    <w:rsid w:val="00D02955"/>
    <w:rsid w:val="00D04F85"/>
    <w:rsid w:val="00D04FF1"/>
    <w:rsid w:val="00D0775E"/>
    <w:rsid w:val="00D118C4"/>
    <w:rsid w:val="00D145FA"/>
    <w:rsid w:val="00D14CC4"/>
    <w:rsid w:val="00D244C6"/>
    <w:rsid w:val="00D25676"/>
    <w:rsid w:val="00D4119F"/>
    <w:rsid w:val="00D459E5"/>
    <w:rsid w:val="00D462FF"/>
    <w:rsid w:val="00D77ACB"/>
    <w:rsid w:val="00D81AB7"/>
    <w:rsid w:val="00D84937"/>
    <w:rsid w:val="00D8508A"/>
    <w:rsid w:val="00D91F18"/>
    <w:rsid w:val="00D92603"/>
    <w:rsid w:val="00D95E52"/>
    <w:rsid w:val="00DA4CF1"/>
    <w:rsid w:val="00DA540C"/>
    <w:rsid w:val="00DB0FD8"/>
    <w:rsid w:val="00DB638B"/>
    <w:rsid w:val="00DB67CA"/>
    <w:rsid w:val="00DB6B14"/>
    <w:rsid w:val="00DB7729"/>
    <w:rsid w:val="00DC18EB"/>
    <w:rsid w:val="00DD0623"/>
    <w:rsid w:val="00DD0975"/>
    <w:rsid w:val="00DD1AFB"/>
    <w:rsid w:val="00DD4856"/>
    <w:rsid w:val="00DE565A"/>
    <w:rsid w:val="00DF4612"/>
    <w:rsid w:val="00E00327"/>
    <w:rsid w:val="00E02237"/>
    <w:rsid w:val="00E02658"/>
    <w:rsid w:val="00E061B2"/>
    <w:rsid w:val="00E0768A"/>
    <w:rsid w:val="00E13A4D"/>
    <w:rsid w:val="00E215FA"/>
    <w:rsid w:val="00E218EA"/>
    <w:rsid w:val="00E262E2"/>
    <w:rsid w:val="00E303C3"/>
    <w:rsid w:val="00E4139C"/>
    <w:rsid w:val="00E42BBC"/>
    <w:rsid w:val="00E45231"/>
    <w:rsid w:val="00E509A6"/>
    <w:rsid w:val="00E52FF7"/>
    <w:rsid w:val="00E5644F"/>
    <w:rsid w:val="00E5749F"/>
    <w:rsid w:val="00E676A0"/>
    <w:rsid w:val="00E83001"/>
    <w:rsid w:val="00E973E5"/>
    <w:rsid w:val="00EA40B8"/>
    <w:rsid w:val="00EB3DF2"/>
    <w:rsid w:val="00EB609A"/>
    <w:rsid w:val="00EC3652"/>
    <w:rsid w:val="00EC77CE"/>
    <w:rsid w:val="00EF1B36"/>
    <w:rsid w:val="00EF377D"/>
    <w:rsid w:val="00F120C0"/>
    <w:rsid w:val="00F426C1"/>
    <w:rsid w:val="00F44698"/>
    <w:rsid w:val="00F46E67"/>
    <w:rsid w:val="00F51663"/>
    <w:rsid w:val="00F544AE"/>
    <w:rsid w:val="00F563AF"/>
    <w:rsid w:val="00F56651"/>
    <w:rsid w:val="00F67874"/>
    <w:rsid w:val="00F67E0F"/>
    <w:rsid w:val="00F74048"/>
    <w:rsid w:val="00F80EDD"/>
    <w:rsid w:val="00F83336"/>
    <w:rsid w:val="00F84ECE"/>
    <w:rsid w:val="00F86101"/>
    <w:rsid w:val="00F947D4"/>
    <w:rsid w:val="00F950CF"/>
    <w:rsid w:val="00F95642"/>
    <w:rsid w:val="00FA3CE5"/>
    <w:rsid w:val="00FA42E5"/>
    <w:rsid w:val="00FA725D"/>
    <w:rsid w:val="00FB2E4A"/>
    <w:rsid w:val="00FE13BF"/>
    <w:rsid w:val="00FE44A8"/>
    <w:rsid w:val="00FE7A97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9"/>
    <o:shapelayout v:ext="edit">
      <o:idmap v:ext="edit" data="1"/>
    </o:shapelayout>
  </w:shapeDefaults>
  <w:decimalSymbol w:val="."/>
  <w:listSeparator w:val=","/>
  <w14:docId w14:val="143128DE"/>
  <w14:defaultImageDpi w14:val="300"/>
  <w15:docId w15:val="{8AB20BEC-66FF-4474-B5F9-00F18209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5B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05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0D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D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0D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DEC"/>
  </w:style>
  <w:style w:type="paragraph" w:styleId="Footer">
    <w:name w:val="footer"/>
    <w:basedOn w:val="Normal"/>
    <w:link w:val="FooterChar"/>
    <w:uiPriority w:val="99"/>
    <w:unhideWhenUsed/>
    <w:rsid w:val="005E0D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DEC"/>
  </w:style>
  <w:style w:type="paragraph" w:customStyle="1" w:styleId="BasicParagraph">
    <w:name w:val="[Basic Paragraph]"/>
    <w:basedOn w:val="Normal"/>
    <w:uiPriority w:val="99"/>
    <w:rsid w:val="00B40C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SubSubHeading">
    <w:name w:val="Sub Sub Heading"/>
    <w:basedOn w:val="Normal"/>
    <w:uiPriority w:val="99"/>
    <w:rsid w:val="00B40C58"/>
    <w:pPr>
      <w:widowControl w:val="0"/>
      <w:suppressAutoHyphens/>
      <w:autoSpaceDE w:val="0"/>
      <w:autoSpaceDN w:val="0"/>
      <w:adjustRightInd w:val="0"/>
      <w:spacing w:before="113" w:after="57" w:line="240" w:lineRule="atLeast"/>
      <w:textAlignment w:val="center"/>
    </w:pPr>
    <w:rPr>
      <w:rFonts w:ascii="PFSquareSansPro-BoldItalic" w:hAnsi="PFSquareSansPro-BoldItalic" w:cs="PFSquareSansPro-BoldItalic"/>
      <w:b/>
      <w:bCs/>
      <w:i/>
      <w:iCs/>
      <w:color w:val="000000"/>
      <w:sz w:val="21"/>
      <w:szCs w:val="21"/>
      <w:lang w:val="en-GB"/>
    </w:rPr>
  </w:style>
  <w:style w:type="paragraph" w:customStyle="1" w:styleId="BodyCopyLessLeading">
    <w:name w:val="Body Copy Less Leading"/>
    <w:basedOn w:val="Normal"/>
    <w:uiPriority w:val="99"/>
    <w:rsid w:val="00B40C58"/>
    <w:pPr>
      <w:widowControl w:val="0"/>
      <w:suppressAutoHyphens/>
      <w:autoSpaceDE w:val="0"/>
      <w:autoSpaceDN w:val="0"/>
      <w:adjustRightInd w:val="0"/>
      <w:spacing w:after="170" w:line="260" w:lineRule="atLeast"/>
      <w:textAlignment w:val="center"/>
    </w:pPr>
    <w:rPr>
      <w:rFonts w:ascii="PFSquareSansPro-LightItalic" w:hAnsi="PFSquareSansPro-LightItalic" w:cs="PFSquareSansPro-LightItalic"/>
      <w:i/>
      <w:iCs/>
      <w:color w:val="000000"/>
      <w:sz w:val="19"/>
      <w:szCs w:val="19"/>
      <w:lang w:val="en-GB"/>
    </w:rPr>
  </w:style>
  <w:style w:type="paragraph" w:customStyle="1" w:styleId="Bullets">
    <w:name w:val="Bullets"/>
    <w:basedOn w:val="Normal"/>
    <w:uiPriority w:val="99"/>
    <w:rsid w:val="00B40C58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70" w:line="280" w:lineRule="atLeast"/>
      <w:ind w:left="170" w:hanging="170"/>
      <w:textAlignment w:val="center"/>
    </w:pPr>
    <w:rPr>
      <w:rFonts w:ascii="PFSquareSansPro-LightItalic" w:hAnsi="PFSquareSansPro-LightItalic" w:cs="PFSquareSansPro-LightItalic"/>
      <w:i/>
      <w:iCs/>
      <w:color w:val="000000"/>
      <w:sz w:val="19"/>
      <w:szCs w:val="19"/>
      <w:lang w:val="en-GB"/>
    </w:rPr>
  </w:style>
  <w:style w:type="character" w:customStyle="1" w:styleId="IntextBold">
    <w:name w:val="Intext Bold"/>
    <w:uiPriority w:val="99"/>
    <w:rsid w:val="00B40C58"/>
    <w:rPr>
      <w:rFonts w:ascii="PFSquareSansPro-BoldItalic" w:hAnsi="PFSquareSansPro-BoldItalic" w:cs="PFSquareSansPro-BoldItalic"/>
      <w:b/>
      <w:bCs/>
      <w:i/>
      <w:iCs/>
      <w:sz w:val="19"/>
      <w:szCs w:val="19"/>
      <w:lang w:val="en-GB"/>
    </w:rPr>
  </w:style>
  <w:style w:type="paragraph" w:styleId="NoSpacing">
    <w:name w:val="No Spacing"/>
    <w:link w:val="NoSpacingChar"/>
    <w:uiPriority w:val="1"/>
    <w:qFormat/>
    <w:rsid w:val="003E0744"/>
  </w:style>
  <w:style w:type="character" w:styleId="Hyperlink">
    <w:name w:val="Hyperlink"/>
    <w:basedOn w:val="DefaultParagraphFont"/>
    <w:uiPriority w:val="99"/>
    <w:unhideWhenUsed/>
    <w:rsid w:val="009E7FCA"/>
    <w:rPr>
      <w:strike w:val="0"/>
      <w:dstrike w:val="0"/>
      <w:color w:val="004276"/>
      <w:u w:val="none"/>
      <w:effect w:val="none"/>
    </w:rPr>
  </w:style>
  <w:style w:type="paragraph" w:styleId="ListParagraph">
    <w:name w:val="List Paragraph"/>
    <w:basedOn w:val="Normal"/>
    <w:link w:val="ListParagraphChar"/>
    <w:uiPriority w:val="34"/>
    <w:qFormat/>
    <w:rsid w:val="001C47F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/>
    </w:rPr>
  </w:style>
  <w:style w:type="paragraph" w:customStyle="1" w:styleId="Default">
    <w:name w:val="Default"/>
    <w:rsid w:val="00E303C3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en-AU"/>
    </w:rPr>
  </w:style>
  <w:style w:type="table" w:styleId="TableGrid">
    <w:name w:val="Table Grid"/>
    <w:basedOn w:val="TableNormal"/>
    <w:uiPriority w:val="59"/>
    <w:rsid w:val="003C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1D3416"/>
    <w:rPr>
      <w:rFonts w:eastAsiaTheme="minorHAnsi"/>
      <w:sz w:val="22"/>
      <w:szCs w:val="22"/>
      <w:lang w:val="en-AU"/>
    </w:rPr>
  </w:style>
  <w:style w:type="character" w:customStyle="1" w:styleId="NoSpacingChar">
    <w:name w:val="No Spacing Char"/>
    <w:link w:val="NoSpacing"/>
    <w:uiPriority w:val="1"/>
    <w:rsid w:val="00BA1834"/>
  </w:style>
  <w:style w:type="character" w:customStyle="1" w:styleId="Heading1Char">
    <w:name w:val="Heading 1 Char"/>
    <w:basedOn w:val="DefaultParagraphFont"/>
    <w:link w:val="Heading1"/>
    <w:uiPriority w:val="9"/>
    <w:rsid w:val="00C45BA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27618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Strong">
    <w:name w:val="Strong"/>
    <w:basedOn w:val="DefaultParagraphFont"/>
    <w:uiPriority w:val="22"/>
    <w:qFormat/>
    <w:rsid w:val="005D330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05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000511"/>
    <w:rPr>
      <w:rFonts w:ascii="Garamond" w:eastAsia="Times New Roman" w:hAnsi="Garamond" w:cs="Times New Roman"/>
      <w:sz w:val="32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semiHidden/>
    <w:rsid w:val="00000511"/>
    <w:rPr>
      <w:rFonts w:ascii="Garamond" w:eastAsia="Times New Roman" w:hAnsi="Garamond" w:cs="Times New Roman"/>
      <w:sz w:val="32"/>
      <w:szCs w:val="20"/>
      <w:lang w:val="en-AU"/>
    </w:rPr>
  </w:style>
  <w:style w:type="paragraph" w:customStyle="1" w:styleId="Standard">
    <w:name w:val="Standard"/>
    <w:rsid w:val="0000051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en-AU" w:eastAsia="zh-CN" w:bidi="hi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52E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52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43767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8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9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87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\AppData\Local\Temp\VWA_Word_Pr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01745-B095-42FE-9CFF-B5682495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VWA_Word_Prop</Template>
  <TotalTime>1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Operations Manager</dc:creator>
  <cp:lastModifiedBy>Marketing and Communication</cp:lastModifiedBy>
  <cp:revision>3</cp:revision>
  <cp:lastPrinted>2018-04-03T08:00:00Z</cp:lastPrinted>
  <dcterms:created xsi:type="dcterms:W3CDTF">2019-01-21T02:40:00Z</dcterms:created>
  <dcterms:modified xsi:type="dcterms:W3CDTF">2019-01-21T02:41:00Z</dcterms:modified>
</cp:coreProperties>
</file>